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35" w:rsidRDefault="006A4C35" w:rsidP="006A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:rsidR="006A4C35" w:rsidRDefault="006A4C35" w:rsidP="006A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ZADARSKA ŽUPANIJA</w:t>
      </w:r>
    </w:p>
    <w:p w:rsidR="006A4C35" w:rsidRDefault="006A4C35" w:rsidP="006A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ZADARSKI OTOCI-ZADAR</w:t>
      </w:r>
    </w:p>
    <w:p w:rsidR="006A4C35" w:rsidRDefault="006A4C35" w:rsidP="006A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TRG DAMIRA TOMLJANOVIĆA GAVRANA 2, 23000 ZADAR</w:t>
      </w:r>
    </w:p>
    <w:p w:rsidR="006A4C35" w:rsidRDefault="006A4C35" w:rsidP="006A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31690679863</w:t>
      </w:r>
    </w:p>
    <w:p w:rsidR="006A4C35" w:rsidRDefault="006A4C35" w:rsidP="006A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Tel: 023/328-041</w:t>
      </w:r>
    </w:p>
    <w:p w:rsidR="006A4C35" w:rsidRDefault="006A4C35" w:rsidP="006A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Email : </w:t>
      </w:r>
      <w:hyperlink r:id="rId6" w:history="1">
        <w:r>
          <w:rPr>
            <w:rStyle w:val="Hiperveza"/>
            <w:rFonts w:ascii="Times New Roman" w:hAnsi="Times New Roman"/>
            <w:sz w:val="24"/>
            <w:szCs w:val="24"/>
          </w:rPr>
          <w:t>ured@os-zadarski-otoci-zd.skole.hr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A4C35" w:rsidRDefault="006A4C35" w:rsidP="006A4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075" w:rsidRPr="00E63075" w:rsidRDefault="00E63075" w:rsidP="00E6307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3075">
        <w:rPr>
          <w:rFonts w:ascii="Times New Roman" w:hAnsi="Times New Roman"/>
          <w:sz w:val="24"/>
          <w:szCs w:val="24"/>
        </w:rPr>
        <w:t>KLASA: 400-07/25-01/1</w:t>
      </w:r>
    </w:p>
    <w:p w:rsidR="00E63075" w:rsidRDefault="00E63075" w:rsidP="00E6307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3075">
        <w:rPr>
          <w:rFonts w:ascii="Times New Roman" w:hAnsi="Times New Roman"/>
          <w:sz w:val="24"/>
          <w:szCs w:val="24"/>
        </w:rPr>
        <w:t>URBROJ: 2198-1-9-1</w:t>
      </w:r>
    </w:p>
    <w:p w:rsidR="00E63075" w:rsidRPr="00E63075" w:rsidRDefault="00E63075" w:rsidP="00E6307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Zadar, </w:t>
      </w:r>
      <w:r w:rsidR="00E632B7">
        <w:rPr>
          <w:rFonts w:ascii="Times New Roman" w:hAnsi="Times New Roman"/>
          <w:sz w:val="24"/>
          <w:szCs w:val="24"/>
        </w:rPr>
        <w:t>17. ožujka 2025.</w:t>
      </w: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4C35" w:rsidRDefault="006A4C35" w:rsidP="006A4C3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OBRAZLOŽENJE GODIŠNJEG IZVJEŠTAJA O IZVRŠENJU FINANCIJSKOG PLANA ZA 2024. GODINU</w:t>
      </w: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Sadržaj, podnošenje i donošenje izvještaja o izvršenju financijskog plana proračunskog i izvanproračunskog korisnika propisan je u čl. 81.-86. Zakona o proračunu (Nar. nov., br.144/21.), a detaljno uređen Pravilnikom o polugodišnjem i godišnjem izvještaj o izvršenju proračuna i financijskog plana (Nar. nov., br. 85/23.). </w:t>
      </w:r>
    </w:p>
    <w:p w:rsidR="006A4C35" w:rsidRDefault="006A4C35" w:rsidP="006A4C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Osnovna škola Zadarski otoci- Zadar podnosi školskom odboru izvještaj o izvršenju financijskog plana za razdoblje od </w:t>
      </w:r>
      <w:r w:rsidR="00757FDD">
        <w:rPr>
          <w:rFonts w:ascii="Times New Roman" w:hAnsi="Times New Roman"/>
          <w:sz w:val="24"/>
          <w:szCs w:val="24"/>
        </w:rPr>
        <w:t>1. siječnja do 31. prosinca 2024</w:t>
      </w:r>
      <w:r>
        <w:rPr>
          <w:rFonts w:ascii="Times New Roman" w:hAnsi="Times New Roman"/>
          <w:sz w:val="24"/>
          <w:szCs w:val="24"/>
        </w:rPr>
        <w:t>. godine. Obveza izrade izvještaja o izvršenju za svakog proračunskog korisnika proizlazi iz činjenice da je financijski plan (koji je dio proračuna) donesen na razini svakog korisnika i usvojen od strane njegovog upravljačkog tijela, a izvještaj o izvršenju pokazuje ostvarenje tog plana. Izvještaj o izvršenju financijskog plana prati jesu li se i u kojim iznosima ostvarile planirane pozicije prihoda, primitaka, rashoda, izdataka, viškova i manjkova unutar jedne godine.  U prilogu je Izvještaj o godišnjem izvr</w:t>
      </w:r>
      <w:r w:rsidR="00757FDD">
        <w:rPr>
          <w:rFonts w:ascii="Times New Roman" w:hAnsi="Times New Roman"/>
          <w:sz w:val="24"/>
          <w:szCs w:val="24"/>
        </w:rPr>
        <w:t>šenju financijskog plana za 2024</w:t>
      </w:r>
      <w:r>
        <w:rPr>
          <w:rFonts w:ascii="Times New Roman" w:hAnsi="Times New Roman"/>
          <w:sz w:val="24"/>
          <w:szCs w:val="24"/>
        </w:rPr>
        <w:t xml:space="preserve">. godinu gdje se nalaze sljedeći tabelarni pregledi: </w:t>
      </w:r>
    </w:p>
    <w:p w:rsidR="006A4C35" w:rsidRDefault="006A4C35" w:rsidP="006A4C35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Opći dio</w:t>
      </w:r>
    </w:p>
    <w:p w:rsidR="006A4C35" w:rsidRDefault="006A4C35" w:rsidP="006A4C3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Sažetak A. računa prihoda i rashoda i B. Računa financiranja</w:t>
      </w:r>
    </w:p>
    <w:p w:rsidR="006A4C35" w:rsidRDefault="006A4C35" w:rsidP="006A4C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Račun prihoda i rashoda</w:t>
      </w:r>
    </w:p>
    <w:p w:rsidR="006A4C35" w:rsidRDefault="006A4C35" w:rsidP="006A4C3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izvještaj o prihodima i rashodima prema ekonomskoj klasifikaciji</w:t>
      </w:r>
    </w:p>
    <w:p w:rsidR="006A4C35" w:rsidRDefault="006A4C35" w:rsidP="006A4C3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izvještaj o prihodima i rashodima prema izvorima financiranja</w:t>
      </w:r>
    </w:p>
    <w:p w:rsidR="006A4C35" w:rsidRDefault="006A4C35" w:rsidP="006A4C3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izvještaj o rashodima prema funkcijskoj klasifikaciji</w:t>
      </w:r>
    </w:p>
    <w:p w:rsidR="006A4C35" w:rsidRDefault="006A4C35" w:rsidP="006A4C3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Račun financiranja</w:t>
      </w:r>
    </w:p>
    <w:p w:rsidR="006A4C35" w:rsidRDefault="006A4C35" w:rsidP="006A4C3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izvještaj računa financiranja prema ekonomskoj klasifikaciji</w:t>
      </w:r>
    </w:p>
    <w:p w:rsidR="006A4C35" w:rsidRDefault="006A4C35" w:rsidP="006A4C3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izvještaj računa financiranja prema izvorima financiranja</w:t>
      </w:r>
    </w:p>
    <w:p w:rsidR="006A4C35" w:rsidRDefault="006A4C35" w:rsidP="006A4C35">
      <w:pPr>
        <w:spacing w:after="0" w:line="276" w:lineRule="auto"/>
        <w:ind w:left="21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A4C35" w:rsidRDefault="006A4C35" w:rsidP="006A4C35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Posebni dio – izvršenje rashoda i izdataka po izvorima financiranja i ekonomskoj klasifikaciji raspoređenih u programe koji se sastoje od aktivnosti i projekata</w:t>
      </w:r>
    </w:p>
    <w:p w:rsidR="006A4C35" w:rsidRDefault="006A4C35" w:rsidP="006A4C35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Obrazloženje</w:t>
      </w:r>
    </w:p>
    <w:p w:rsidR="006A4C35" w:rsidRDefault="006A4C35" w:rsidP="006A4C35">
      <w:pPr>
        <w:spacing w:after="0" w:line="276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Obrazloženja općeg dijela izvještaja o izvršenju financijskog plana</w:t>
      </w:r>
    </w:p>
    <w:p w:rsidR="006A4C35" w:rsidRDefault="006A4C35" w:rsidP="006A4C3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obrazloženje ostvarenja prihoda i rashoda, primitaka i izdataka</w:t>
      </w:r>
    </w:p>
    <w:p w:rsidR="006A4C35" w:rsidRDefault="006A4C35" w:rsidP="006A4C35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obrazloženje prijenosa sredstava iz prethodne godine i prijenosa sredstava u sljedeću godinu za proračunske i izvanproračunske korisnike državnog proračuna, a za proračunske i izvanproračunske korisnike jedinica lokalne i područne (regionalne) samouprave prenesenog manjka odnosno viška financijskog plana</w:t>
      </w:r>
    </w:p>
    <w:tbl>
      <w:tblPr>
        <w:tblpPr w:leftFromText="180" w:rightFromText="180" w:bottomFromText="160" w:vertAnchor="text" w:horzAnchor="margin" w:tblpXSpec="center" w:tblpY="521"/>
        <w:tblW w:w="10922" w:type="dxa"/>
        <w:tblLook w:val="04A0" w:firstRow="1" w:lastRow="0" w:firstColumn="1" w:lastColumn="0" w:noHBand="0" w:noVBand="1"/>
      </w:tblPr>
      <w:tblGrid>
        <w:gridCol w:w="498"/>
        <w:gridCol w:w="1066"/>
        <w:gridCol w:w="1065"/>
        <w:gridCol w:w="1065"/>
        <w:gridCol w:w="303"/>
        <w:gridCol w:w="2240"/>
        <w:gridCol w:w="2322"/>
        <w:gridCol w:w="2363"/>
      </w:tblGrid>
      <w:tr w:rsidR="006A4C35" w:rsidTr="006A4C35">
        <w:trPr>
          <w:trHeight w:val="315"/>
        </w:trPr>
        <w:tc>
          <w:tcPr>
            <w:tcW w:w="10922" w:type="dxa"/>
            <w:gridSpan w:val="8"/>
            <w:vAlign w:val="center"/>
          </w:tcPr>
          <w:p w:rsidR="006A4C35" w:rsidRDefault="006A4C3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  <w:t>GODIŠNJI IZVJEŠTAJ O IZVRŠENJU FINANCIJSKOG PLANA ZA 2024. GODINU</w:t>
            </w:r>
          </w:p>
          <w:p w:rsidR="006A4C35" w:rsidRDefault="006A4C35">
            <w:pPr>
              <w:pStyle w:val="Odlomakpopisa"/>
              <w:spacing w:after="0" w:line="276" w:lineRule="auto"/>
              <w:ind w:left="216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</w:p>
          <w:p w:rsidR="006A4C35" w:rsidRDefault="006A4C35">
            <w:pPr>
              <w:pStyle w:val="Odlomakpopisa"/>
              <w:spacing w:after="0" w:line="276" w:lineRule="auto"/>
              <w:ind w:left="216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r-HR"/>
              </w:rPr>
            </w:pPr>
          </w:p>
          <w:p w:rsidR="006A4C35" w:rsidRDefault="00757FDD" w:rsidP="00757FDD">
            <w:pPr>
              <w:pStyle w:val="Odlomakpopisa"/>
              <w:spacing w:after="0" w:line="240" w:lineRule="auto"/>
              <w:ind w:left="216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                                                      </w:t>
            </w:r>
            <w:r w:rsidR="006A4C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I. OPĆI DIO</w:t>
            </w:r>
          </w:p>
        </w:tc>
      </w:tr>
      <w:tr w:rsidR="006A4C35" w:rsidTr="006A4C35">
        <w:trPr>
          <w:trHeight w:val="361"/>
        </w:trPr>
        <w:tc>
          <w:tcPr>
            <w:tcW w:w="498" w:type="dxa"/>
            <w:vAlign w:val="center"/>
            <w:hideMark/>
          </w:tcPr>
          <w:p w:rsidR="006A4C35" w:rsidRDefault="006A4C35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6" w:type="dxa"/>
            <w:vAlign w:val="center"/>
            <w:hideMark/>
          </w:tcPr>
          <w:p w:rsidR="006A4C35" w:rsidRDefault="006A4C35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065" w:type="dxa"/>
            <w:vAlign w:val="center"/>
            <w:hideMark/>
          </w:tcPr>
          <w:p w:rsidR="006A4C35" w:rsidRDefault="006A4C35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065" w:type="dxa"/>
            <w:vAlign w:val="center"/>
            <w:hideMark/>
          </w:tcPr>
          <w:p w:rsidR="006A4C35" w:rsidRDefault="006A4C35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303" w:type="dxa"/>
            <w:vAlign w:val="center"/>
            <w:hideMark/>
          </w:tcPr>
          <w:p w:rsidR="006A4C35" w:rsidRDefault="006A4C35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2240" w:type="dxa"/>
            <w:vAlign w:val="center"/>
            <w:hideMark/>
          </w:tcPr>
          <w:p w:rsidR="006A4C35" w:rsidRDefault="006A4C35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2322" w:type="dxa"/>
            <w:vAlign w:val="center"/>
            <w:hideMark/>
          </w:tcPr>
          <w:p w:rsidR="006A4C35" w:rsidRDefault="006A4C35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2363" w:type="dxa"/>
            <w:vAlign w:val="center"/>
            <w:hideMark/>
          </w:tcPr>
          <w:p w:rsidR="006A4C35" w:rsidRDefault="006A4C35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</w:tr>
      <w:tr w:rsidR="006A4C35" w:rsidTr="006A4C35">
        <w:trPr>
          <w:trHeight w:val="361"/>
        </w:trPr>
        <w:tc>
          <w:tcPr>
            <w:tcW w:w="10922" w:type="dxa"/>
            <w:gridSpan w:val="8"/>
            <w:vAlign w:val="center"/>
            <w:hideMark/>
          </w:tcPr>
          <w:p w:rsidR="006A4C35" w:rsidRDefault="00757FDD" w:rsidP="00757F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    </w:t>
            </w:r>
            <w:r w:rsidR="006A4C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 A) SAŽETAK RAČUNA PRIHODA I RASHODA</w:t>
            </w:r>
          </w:p>
        </w:tc>
      </w:tr>
      <w:tr w:rsidR="00757FDD" w:rsidTr="006A4C35">
        <w:trPr>
          <w:gridAfter w:val="5"/>
          <w:wAfter w:w="8293" w:type="dxa"/>
          <w:trHeight w:val="361"/>
        </w:trPr>
        <w:tc>
          <w:tcPr>
            <w:tcW w:w="498" w:type="dxa"/>
            <w:vAlign w:val="bottom"/>
            <w:hideMark/>
          </w:tcPr>
          <w:p w:rsidR="00757FDD" w:rsidRDefault="00757FDD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66" w:type="dxa"/>
            <w:vAlign w:val="bottom"/>
            <w:hideMark/>
          </w:tcPr>
          <w:p w:rsidR="00757FDD" w:rsidRDefault="00757FDD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065" w:type="dxa"/>
            <w:vAlign w:val="bottom"/>
            <w:hideMark/>
          </w:tcPr>
          <w:p w:rsidR="00757FDD" w:rsidRDefault="00757FDD">
            <w:pPr>
              <w:spacing w:after="0" w:line="256" w:lineRule="auto"/>
              <w:rPr>
                <w:sz w:val="20"/>
                <w:szCs w:val="20"/>
                <w:lang w:eastAsia="hr-HR"/>
              </w:rPr>
            </w:pPr>
          </w:p>
        </w:tc>
      </w:tr>
    </w:tbl>
    <w:p w:rsidR="006A4C35" w:rsidRDefault="006A4C35" w:rsidP="006A4C3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6A4C35" w:rsidRDefault="00E632B7" w:rsidP="006A4C35">
      <w:pPr>
        <w:spacing w:line="256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632B7">
        <w:rPr>
          <w:noProof/>
          <w:lang w:eastAsia="hr-HR"/>
        </w:rPr>
        <w:drawing>
          <wp:inline distT="0" distB="0" distL="0" distR="0">
            <wp:extent cx="5760720" cy="398381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C35">
        <w:rPr>
          <w:rFonts w:ascii="Times New Roman" w:eastAsia="Times New Roman" w:hAnsi="Times New Roman"/>
          <w:sz w:val="24"/>
          <w:szCs w:val="24"/>
          <w:lang w:eastAsia="hr-HR"/>
        </w:rPr>
        <w:br w:type="page"/>
      </w:r>
    </w:p>
    <w:p w:rsidR="006A4C35" w:rsidRDefault="006A4C35" w:rsidP="006A4C35">
      <w:pPr>
        <w:pStyle w:val="Odlomakpopisa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OBRAZLOŽENJE OPĆEG DIJELA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</w:p>
    <w:p w:rsidR="006A4C35" w:rsidRDefault="006A4C35" w:rsidP="006A4C35">
      <w:pPr>
        <w:pStyle w:val="Odlomakpopisa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prijedlogu financijskog plana, Osnovna škola Zadarski otoci-Zadar ostvaruje prihode iz nadležnog proračuna grada Zadra za financiranje redovne djelatnosti na podskupini 67, odnosno iz izvora 11- opći prihodi i primici.; od proračuna koji im nije nadležan na podskupini 63, a pripadaju izvoru financiranja 57- pomoći: nadležno Ministarstvo-rashodi za zaposlene i materijalni rashodi ; Zadarska županija koja financira natjecanje Sigurno u prometu i natjecanje iz informatike; iz izvora 5402-sredstva iz EU za financiranje plaća i materijalnih prava za projekt Pomoćnika u nastavi i Shemu školskog voća i mlijeka; iz izvora 31- vlastiti prihodi koji čine prihodi iznajmljivanja sportske dvorane i zakup školskog prostora za kuhinju, prihodi od kamata; izvor financiranja 41- prihodi za posebne namjene koje se odnose na sufinanciranje cijene usluga, uplata za počinjenu štetu i sl. ; izvor financiranja 6103- donacije od Društva pedagoga tehničke kulture za natjecanje. Prihodi se koriste prvenstveno za redovito poslovanje te financiranje aktivnosti iz Godišnjeg plana i programa rada škole. Planirani višak prihoda se koristi za pokriće rashoda u 2024. godini.</w:t>
      </w: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 izvještaja o izvršenju financijskog plana u razdo</w:t>
      </w:r>
      <w:r w:rsidR="00757FDD">
        <w:rPr>
          <w:rFonts w:ascii="Times New Roman" w:hAnsi="Times New Roman"/>
          <w:sz w:val="24"/>
          <w:szCs w:val="24"/>
        </w:rPr>
        <w:t xml:space="preserve">blju od 01.siječnja 2024. do 31. prosinca </w:t>
      </w:r>
      <w:r>
        <w:rPr>
          <w:rFonts w:ascii="Times New Roman" w:hAnsi="Times New Roman"/>
          <w:sz w:val="24"/>
          <w:szCs w:val="24"/>
        </w:rPr>
        <w:t>2024. godi</w:t>
      </w:r>
      <w:r w:rsidR="00757FDD">
        <w:rPr>
          <w:rFonts w:ascii="Times New Roman" w:hAnsi="Times New Roman"/>
          <w:sz w:val="24"/>
          <w:szCs w:val="24"/>
        </w:rPr>
        <w:t xml:space="preserve">ne uspoređivani su elementi </w:t>
      </w:r>
      <w:r>
        <w:rPr>
          <w:rFonts w:ascii="Times New Roman" w:hAnsi="Times New Roman"/>
          <w:sz w:val="24"/>
          <w:szCs w:val="24"/>
        </w:rPr>
        <w:t>godišnjeg izvršenja 2024. u odnos</w:t>
      </w:r>
      <w:r w:rsidR="00757FDD">
        <w:rPr>
          <w:rFonts w:ascii="Times New Roman" w:hAnsi="Times New Roman"/>
          <w:sz w:val="24"/>
          <w:szCs w:val="24"/>
        </w:rPr>
        <w:t xml:space="preserve">u na plan 2024. te elementi </w:t>
      </w:r>
      <w:r>
        <w:rPr>
          <w:rFonts w:ascii="Times New Roman" w:hAnsi="Times New Roman"/>
          <w:sz w:val="24"/>
          <w:szCs w:val="24"/>
        </w:rPr>
        <w:t>godišnj</w:t>
      </w:r>
      <w:r w:rsidR="00757FDD">
        <w:rPr>
          <w:rFonts w:ascii="Times New Roman" w:hAnsi="Times New Roman"/>
          <w:sz w:val="24"/>
          <w:szCs w:val="24"/>
        </w:rPr>
        <w:t xml:space="preserve">eg izvršenja 2024. naspram </w:t>
      </w:r>
      <w:r>
        <w:rPr>
          <w:rFonts w:ascii="Times New Roman" w:hAnsi="Times New Roman"/>
          <w:sz w:val="24"/>
          <w:szCs w:val="24"/>
        </w:rPr>
        <w:t>godišnjeg izvršenja 2023.</w:t>
      </w: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Indeks izvršenja prihoda iznosi</w:t>
      </w:r>
      <w:r w:rsidR="00757FDD">
        <w:rPr>
          <w:rFonts w:ascii="Times New Roman" w:hAnsi="Times New Roman"/>
          <w:sz w:val="24"/>
          <w:szCs w:val="24"/>
        </w:rPr>
        <w:t xml:space="preserve"> 100,00</w:t>
      </w:r>
      <w:r>
        <w:rPr>
          <w:rFonts w:ascii="Times New Roman" w:hAnsi="Times New Roman"/>
          <w:sz w:val="24"/>
          <w:szCs w:val="24"/>
        </w:rPr>
        <w:t xml:space="preserve">, a rashoda </w:t>
      </w:r>
      <w:r w:rsidR="00757FDD">
        <w:rPr>
          <w:rFonts w:ascii="Times New Roman" w:hAnsi="Times New Roman"/>
          <w:sz w:val="24"/>
          <w:szCs w:val="24"/>
        </w:rPr>
        <w:t xml:space="preserve">99,75 </w:t>
      </w:r>
      <w:r>
        <w:rPr>
          <w:rFonts w:ascii="Times New Roman" w:hAnsi="Times New Roman"/>
          <w:sz w:val="24"/>
          <w:szCs w:val="24"/>
        </w:rPr>
        <w:t xml:space="preserve"> što znači da Škola ima rashode onolike koliko je utvrđeno planom te da nema probijanja Plana u ukupnom iznosu.</w:t>
      </w: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pPr w:leftFromText="180" w:rightFromText="180" w:bottomFromText="160" w:vertAnchor="page" w:horzAnchor="margin" w:tblpXSpec="center" w:tblpY="10726"/>
        <w:tblW w:w="11436" w:type="dxa"/>
        <w:tblLook w:val="04A0" w:firstRow="1" w:lastRow="0" w:firstColumn="1" w:lastColumn="0" w:noHBand="0" w:noVBand="1"/>
      </w:tblPr>
      <w:tblGrid>
        <w:gridCol w:w="11436"/>
      </w:tblGrid>
      <w:tr w:rsidR="00757FDD" w:rsidTr="00757FDD">
        <w:trPr>
          <w:trHeight w:val="668"/>
        </w:trPr>
        <w:tc>
          <w:tcPr>
            <w:tcW w:w="11436" w:type="dxa"/>
            <w:vAlign w:val="center"/>
            <w:hideMark/>
          </w:tcPr>
          <w:p w:rsidR="00757FDD" w:rsidRDefault="00757FDD" w:rsidP="00757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PREMA FUNKCIJSKOJ KLASIFIKACIJI</w:t>
            </w:r>
          </w:p>
          <w:p w:rsidR="00757FDD" w:rsidRDefault="00757FDD" w:rsidP="00757F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7FDD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28722D9F" wp14:editId="3F4CF285">
                  <wp:extent cx="7124700" cy="73342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4C35" w:rsidRDefault="006A4C35" w:rsidP="006A4C3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hr-HR"/>
        </w:rPr>
        <w:t>Dodatne usluge u obrazovanju izvršeni su rashodi za Školsku shemu voća i mlijeka, prijevoz učenika s poteškoćama  te projekt besplatnih marendi za učenike u školama od siječnja 2023. godine.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:rsidR="006A4C35" w:rsidRDefault="006A4C35" w:rsidP="006A4C35">
      <w:pPr>
        <w:pStyle w:val="Odlomakpopisa"/>
        <w:numPr>
          <w:ilvl w:val="0"/>
          <w:numId w:val="6"/>
        </w:numP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OBRAZLOŽENJE PROGRAMA (AKTIVNOSTI I PROJEKATA)</w:t>
      </w:r>
    </w:p>
    <w:p w:rsidR="006A4C35" w:rsidRDefault="006A4C35" w:rsidP="006A4C35">
      <w:pPr>
        <w:spacing w:after="20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A4C35" w:rsidRDefault="006A4C35" w:rsidP="006A4C35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Zakona o odgoju i obrazovanju u osnovnoj i srednjoj školi i Zakona o financiranju jedinica lokalne i područne (regionalne) samouprave osnivač škole Grad Zadar, kao jedinica lokalne samouprave koja je preuzela financiranje decentraliziranih funkcija osnovnog školstva. Škola svojim financijskim planom predviđa sredstva potrebna za materijalne i financijske rashode škole, rashode za nabavu proizvedene dugotrajne imovine kao i rashode za dodatna ulaganja na nefinancijskoj imovini. Planirani i izvršeni rashodi navedeni su po aktivnostima. Financijskim planom planirana su sredstva za provođenje programa Osnovnoškolsko obrazovanje i </w:t>
      </w:r>
      <w:proofErr w:type="spellStart"/>
      <w:r>
        <w:rPr>
          <w:rFonts w:ascii="Times New Roman" w:hAnsi="Times New Roman"/>
          <w:sz w:val="24"/>
          <w:szCs w:val="24"/>
        </w:rPr>
        <w:t>Izvanstandardni</w:t>
      </w:r>
      <w:proofErr w:type="spellEnd"/>
      <w:r>
        <w:rPr>
          <w:rFonts w:ascii="Times New Roman" w:hAnsi="Times New Roman"/>
          <w:sz w:val="24"/>
          <w:szCs w:val="24"/>
        </w:rPr>
        <w:t xml:space="preserve"> programi u školama.</w:t>
      </w:r>
    </w:p>
    <w:p w:rsidR="006A4C35" w:rsidRDefault="006A4C35" w:rsidP="006A4C3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1012- Osnovnoškolsko obrazovanje provodi se kroz sljedeće aktivnosti:</w:t>
      </w:r>
    </w:p>
    <w:p w:rsidR="006A4C35" w:rsidRDefault="006A4C35" w:rsidP="006A4C3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1012-01 Materijalni rashodi škola –STANDARD </w:t>
      </w:r>
    </w:p>
    <w:p w:rsidR="006A4C35" w:rsidRDefault="006A4C35" w:rsidP="006A4C3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1012-02 Financijski rashodi škola - STANDARD </w:t>
      </w:r>
    </w:p>
    <w:p w:rsidR="006A4C35" w:rsidRDefault="006A4C35" w:rsidP="006A4C3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kapitalni projekt 1012-03 Opremanje škola - STANDARD </w:t>
      </w:r>
    </w:p>
    <w:p w:rsidR="00E632B7" w:rsidRDefault="00E632B7" w:rsidP="006A4C3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1012-05 </w:t>
      </w:r>
      <w:r w:rsidRPr="00E632B7">
        <w:rPr>
          <w:rFonts w:ascii="Times New Roman" w:hAnsi="Times New Roman"/>
          <w:sz w:val="24"/>
          <w:szCs w:val="24"/>
        </w:rPr>
        <w:t>Rashodi za zaposlene i materijalni rashodi- IZVANSTANDARD</w:t>
      </w:r>
    </w:p>
    <w:p w:rsidR="006A4C35" w:rsidRDefault="006A4C35" w:rsidP="006A4C3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1012-09 Vlastiti i namjenski prihodi škola – rashodi za zaposlene </w:t>
      </w:r>
    </w:p>
    <w:p w:rsidR="006A4C35" w:rsidRDefault="006A4C35" w:rsidP="006A4C3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aktivnost 1012-10 Vlastiti i namjenski prihodi škola – materijalni rashodi</w:t>
      </w:r>
    </w:p>
    <w:p w:rsidR="006A4C35" w:rsidRDefault="006A4C35" w:rsidP="006A4C35">
      <w:p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aktivnost 1012-12 Vlastiti i namjenski prihodi škola-opremanje škola</w:t>
      </w:r>
    </w:p>
    <w:p w:rsidR="006A4C35" w:rsidRDefault="006A4C35" w:rsidP="006A4C35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Planirana su sredstva za 2024. godinu za materijalne i financijske rashode škole te rashode za nabavu proizvedene dugotrajne imovine financirane iz Proračuna Grada Zadra (A 1012-01, A 1012-02 i kapitalni projekt 1012-03) i izvršenje ne probija planirane iznose. </w:t>
      </w: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Ishodišta i pokazatelji na kojima se zasnivaju izračuni i ocjene potrebnih sredstava za provođenje programa temeljeni su na procjenama utrošenih sredstava prethodnih godina, procjeni stvarnog stanja u školi, broju učenika, odjela i broju građevina.</w:t>
      </w:r>
    </w:p>
    <w:p w:rsidR="006A4C35" w:rsidRDefault="006A4C35" w:rsidP="006A4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6"/>
        <w:tblW w:w="11200" w:type="dxa"/>
        <w:tblLook w:val="04A0" w:firstRow="1" w:lastRow="0" w:firstColumn="1" w:lastColumn="0" w:noHBand="0" w:noVBand="1"/>
      </w:tblPr>
      <w:tblGrid>
        <w:gridCol w:w="1859"/>
        <w:gridCol w:w="1608"/>
        <w:gridCol w:w="1188"/>
        <w:gridCol w:w="1437"/>
        <w:gridCol w:w="1656"/>
        <w:gridCol w:w="1736"/>
        <w:gridCol w:w="1716"/>
      </w:tblGrid>
      <w:tr w:rsidR="006A4C35" w:rsidTr="006A4C35">
        <w:trPr>
          <w:trHeight w:val="578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C35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Pokazatelj uspješnosti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C35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Polazna vrijednost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C35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Ciljana vrijednost 2024.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C35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Ciljana vrijednost 2025.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4C35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Ciljana vrijednost 2026.</w:t>
            </w:r>
          </w:p>
        </w:tc>
      </w:tr>
      <w:tr w:rsidR="00E632B7" w:rsidRPr="00E632B7" w:rsidTr="006A4C35">
        <w:trPr>
          <w:trHeight w:val="503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 učenika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Učenici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E63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E63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780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E63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E63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780</w:t>
            </w:r>
          </w:p>
        </w:tc>
      </w:tr>
      <w:tr w:rsidR="00E632B7" w:rsidRPr="00E632B7" w:rsidTr="006A4C35">
        <w:trPr>
          <w:trHeight w:val="503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 odjela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Odjeli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42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42</w:t>
            </w:r>
          </w:p>
        </w:tc>
      </w:tr>
      <w:tr w:rsidR="00E632B7" w:rsidRPr="00E632B7" w:rsidTr="006A4C35">
        <w:trPr>
          <w:trHeight w:val="503"/>
        </w:trPr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lastRenderedPageBreak/>
              <w:t>Broj šk. građevina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Građevine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 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4C35" w:rsidRPr="00E632B7" w:rsidRDefault="006A4C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E632B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4 </w:t>
            </w:r>
          </w:p>
        </w:tc>
      </w:tr>
    </w:tbl>
    <w:p w:rsidR="006A4C35" w:rsidRPr="00E632B7" w:rsidRDefault="006A4C35" w:rsidP="006A4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4C35" w:rsidRPr="00E632B7" w:rsidRDefault="006A4C35" w:rsidP="006A4C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4C35" w:rsidRDefault="006A4C35" w:rsidP="006A4C3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 temelju članka 143. Zakona o odgoju i obrazovanju u osnovnoj i srednjoj školi jedinica lokalne samouprave može utvrditi šire javne potrebe u djelatnosti osnovnog i srednjeg školstva. Ovim programom javnih potreba utvrđuju se šire javne potrebe kroz projekte: programi izvanškolskih i izvannastavnih aktivnosti, program produženog boravka, program financiranja drugih obrazovnih materijala (radne bilježnice), program osobni pomoćnici u nastavi i program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djeci na otocima.</w:t>
      </w:r>
    </w:p>
    <w:p w:rsidR="006A4C35" w:rsidRDefault="006A4C35" w:rsidP="006A4C35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1013 Izvan standardni programi u školama provodi se kroz sljedeće aktivnosti: </w:t>
      </w:r>
    </w:p>
    <w:p w:rsidR="006A4C35" w:rsidRDefault="006A4C35" w:rsidP="006A4C35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1013-06 Produženi boravak </w:t>
      </w:r>
    </w:p>
    <w:p w:rsidR="006A4C35" w:rsidRDefault="006A4C35" w:rsidP="006A4C35">
      <w:pPr>
        <w:spacing w:after="20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Aktivnost 1013-07 Financiranje nabave drugih obrazovnih materijala </w:t>
      </w:r>
    </w:p>
    <w:p w:rsidR="006A4C35" w:rsidRDefault="006A4C35" w:rsidP="006A4C35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Aktivnost 1013-13 Prehrana učenika u osnovnim školama</w:t>
      </w:r>
    </w:p>
    <w:p w:rsidR="006A4C35" w:rsidRDefault="006A4C35" w:rsidP="006A4C35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Aktivnost 1013-14 Škola puna </w:t>
      </w:r>
      <w:r w:rsidR="00E632B7">
        <w:rPr>
          <w:rFonts w:ascii="Times New Roman" w:hAnsi="Times New Roman"/>
          <w:sz w:val="24"/>
          <w:szCs w:val="24"/>
        </w:rPr>
        <w:t>mogućnosti 7</w:t>
      </w:r>
    </w:p>
    <w:p w:rsidR="006A4C35" w:rsidRDefault="006A4C35" w:rsidP="006A4C35">
      <w:pPr>
        <w:spacing w:after="20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Aktivnost 1013-17 Program </w:t>
      </w:r>
      <w:proofErr w:type="spellStart"/>
      <w:r>
        <w:rPr>
          <w:rFonts w:ascii="Times New Roman" w:hAnsi="Times New Roman"/>
          <w:sz w:val="24"/>
          <w:szCs w:val="24"/>
        </w:rPr>
        <w:t>predškole</w:t>
      </w:r>
      <w:proofErr w:type="spellEnd"/>
      <w:r>
        <w:t xml:space="preserve"> </w:t>
      </w:r>
    </w:p>
    <w:p w:rsidR="006A4C35" w:rsidRDefault="006A4C35" w:rsidP="006A4C3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Broj učenika i skupina u produženom boravku povećala se radi potražnje zaposlenih roditelja za ovom vrstom usluge. </w:t>
      </w:r>
      <w:r>
        <w:rPr>
          <w:rFonts w:ascii="Times New Roman" w:hAnsi="Times New Roman"/>
          <w:sz w:val="24"/>
          <w:szCs w:val="24"/>
        </w:rPr>
        <w:t>Planirana su i izvršena sredstva za plaće, materijalna prava i prijevoz 4 učiteljice u produženom boravku.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Školska shema jedan je od programa kojim se provodi dio javnozdravstvene politike Europske unije, a kojim se potiče promoviranje zdravog načina života, osobito djece i mladih osoba, obrazovana ustanova opskrbljuje se voćem i mlijekom.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Radi sve većeg porasta učenika sa teškoćama koji ne mogu samostalno pohađati odgojno-obrazovni proces nužno je povećanje broja pomoćnika u nastavi.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Planirani i izvršeni iznos za 20 pomoćnika u nastavi odnosi se na plaće, prijevoz i materijalna prava.</w:t>
      </w:r>
    </w:p>
    <w:p w:rsidR="006A4C35" w:rsidRDefault="006A4C35" w:rsidP="006A4C35">
      <w:pPr>
        <w:spacing w:after="200" w:line="360" w:lineRule="auto"/>
        <w:jc w:val="both"/>
        <w:rPr>
          <w:rFonts w:ascii="Times New Roman" w:hAnsi="Times New Roman"/>
        </w:rPr>
      </w:pPr>
    </w:p>
    <w:p w:rsidR="006A4C35" w:rsidRDefault="006A4C35" w:rsidP="006A4C35">
      <w:pPr>
        <w:tabs>
          <w:tab w:val="left" w:pos="694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Ravnatelj:</w:t>
      </w:r>
    </w:p>
    <w:p w:rsidR="006A4C35" w:rsidRDefault="006A4C35" w:rsidP="006A4C35">
      <w:pPr>
        <w:tabs>
          <w:tab w:val="left" w:pos="694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Davor Barić, </w:t>
      </w:r>
      <w:proofErr w:type="spellStart"/>
      <w:r>
        <w:rPr>
          <w:rFonts w:ascii="Times New Roman" w:hAnsi="Times New Roman"/>
          <w:sz w:val="24"/>
          <w:szCs w:val="24"/>
        </w:rPr>
        <w:t>dipl.ing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                              </w:t>
      </w:r>
    </w:p>
    <w:p w:rsidR="00A02584" w:rsidRDefault="00A02584"/>
    <w:sectPr w:rsidR="00A0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1CD7"/>
    <w:multiLevelType w:val="hybridMultilevel"/>
    <w:tmpl w:val="941EB0DC"/>
    <w:lvl w:ilvl="0" w:tplc="041A000F">
      <w:start w:val="2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A10CA"/>
    <w:multiLevelType w:val="hybridMultilevel"/>
    <w:tmpl w:val="E11694B2"/>
    <w:lvl w:ilvl="0" w:tplc="6BB226C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59593A"/>
    <w:multiLevelType w:val="hybridMultilevel"/>
    <w:tmpl w:val="ABE03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744F86"/>
    <w:multiLevelType w:val="hybridMultilevel"/>
    <w:tmpl w:val="F72C00F0"/>
    <w:lvl w:ilvl="0" w:tplc="8CA40CDE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51860"/>
    <w:multiLevelType w:val="hybridMultilevel"/>
    <w:tmpl w:val="B23658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25645D"/>
    <w:multiLevelType w:val="hybridMultilevel"/>
    <w:tmpl w:val="8F94B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35"/>
    <w:rsid w:val="006A4C35"/>
    <w:rsid w:val="00757FDD"/>
    <w:rsid w:val="00A02584"/>
    <w:rsid w:val="00E63075"/>
    <w:rsid w:val="00E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8614"/>
  <w15:chartTrackingRefBased/>
  <w15:docId w15:val="{CDF52388-D8F5-446F-BF91-15BF14B4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35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A4C3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A4C3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632B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32B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32B7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32B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32B7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2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zadarski-otoci-zd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B2ABB-2BDC-4528-9563-3FBA8B53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Zadarski otoci</dc:creator>
  <cp:keywords/>
  <dc:description/>
  <cp:lastModifiedBy>OŠ Zadarski otoci</cp:lastModifiedBy>
  <cp:revision>7</cp:revision>
  <dcterms:created xsi:type="dcterms:W3CDTF">2025-03-12T08:54:00Z</dcterms:created>
  <dcterms:modified xsi:type="dcterms:W3CDTF">2025-03-17T11:05:00Z</dcterms:modified>
</cp:coreProperties>
</file>