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C060" w14:textId="77777777" w:rsidR="00D90642" w:rsidRDefault="00D90642" w:rsidP="00111CCB">
      <w:r>
        <w:t>REPUBLIKA HRVATSKA</w:t>
      </w:r>
    </w:p>
    <w:p w14:paraId="30D8216E" w14:textId="77777777" w:rsidR="00D90642" w:rsidRDefault="00D90642" w:rsidP="00D90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ZADARSKA ŽUPANIJA</w:t>
      </w:r>
    </w:p>
    <w:p w14:paraId="6E874ADB" w14:textId="77777777" w:rsidR="00D90642" w:rsidRDefault="00D90642" w:rsidP="00D90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ZADARSKI OTOCI-ZADAR</w:t>
      </w:r>
    </w:p>
    <w:p w14:paraId="574FA1DA" w14:textId="77777777" w:rsidR="00D90642" w:rsidRDefault="00D90642" w:rsidP="00D90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TRG DAMIRA TOMLJANOVIĆA GAVRANA 2, 23000 ZADAR</w:t>
      </w:r>
    </w:p>
    <w:p w14:paraId="2501106C" w14:textId="77777777" w:rsidR="00D90642" w:rsidRDefault="00D90642" w:rsidP="00D90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31690679863</w:t>
      </w:r>
    </w:p>
    <w:p w14:paraId="34DFCC1D" w14:textId="77777777" w:rsidR="00D90642" w:rsidRDefault="00D90642" w:rsidP="00D90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023/328-041</w:t>
      </w:r>
    </w:p>
    <w:p w14:paraId="08A635F4" w14:textId="77777777" w:rsidR="00D90642" w:rsidRDefault="00D90642" w:rsidP="00D90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: </w:t>
      </w:r>
      <w:hyperlink r:id="rId5" w:history="1">
        <w:r>
          <w:rPr>
            <w:rStyle w:val="Hiperveza"/>
            <w:rFonts w:ascii="Times New Roman" w:hAnsi="Times New Roman"/>
            <w:sz w:val="24"/>
            <w:szCs w:val="24"/>
          </w:rPr>
          <w:t>ured@os-zadarski-otoci-zd.skole.hr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B7074B4" w14:textId="77777777" w:rsidR="00D90642" w:rsidRDefault="00D90642" w:rsidP="00D90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A1DE4" w14:textId="287AA7B1" w:rsidR="00D90642" w:rsidRPr="00E24354" w:rsidRDefault="00D90642" w:rsidP="00D906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4354">
        <w:rPr>
          <w:rFonts w:ascii="Times New Roman" w:hAnsi="Times New Roman"/>
          <w:sz w:val="24"/>
          <w:szCs w:val="24"/>
        </w:rPr>
        <w:t>KLASA: 400-0</w:t>
      </w:r>
      <w:r w:rsidR="00E24354" w:rsidRPr="00E24354">
        <w:rPr>
          <w:rFonts w:ascii="Times New Roman" w:hAnsi="Times New Roman"/>
          <w:sz w:val="24"/>
          <w:szCs w:val="24"/>
        </w:rPr>
        <w:t>4/25-01/2</w:t>
      </w:r>
    </w:p>
    <w:p w14:paraId="5499A173" w14:textId="77777777" w:rsidR="00D90642" w:rsidRPr="00E24354" w:rsidRDefault="00D90642" w:rsidP="00D906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4354">
        <w:rPr>
          <w:rFonts w:ascii="Times New Roman" w:hAnsi="Times New Roman"/>
          <w:sz w:val="24"/>
          <w:szCs w:val="24"/>
        </w:rPr>
        <w:t>URBROJ: 2198-1-9-1</w:t>
      </w:r>
    </w:p>
    <w:p w14:paraId="24D388A7" w14:textId="77777777" w:rsidR="00D90642" w:rsidRPr="00E24354" w:rsidRDefault="00D90642" w:rsidP="00D906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22E3A45" w14:textId="77777777" w:rsidR="00D90642" w:rsidRDefault="00D90642" w:rsidP="00D90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Zadar, 11. srpnja 2025.</w:t>
      </w:r>
    </w:p>
    <w:p w14:paraId="227E4D79" w14:textId="77777777" w:rsidR="00D90642" w:rsidRDefault="00D90642" w:rsidP="00D90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6EDDB7" w14:textId="18E61197" w:rsidR="00D90642" w:rsidRDefault="00E24354" w:rsidP="00D906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OBRAZLOŽENJE POLUGODIŠNJEG IZVJEŠTAJA O IZVRŠENJU FINANCIJSKOG PLANA ZA 2025. GODINU</w:t>
      </w:r>
    </w:p>
    <w:p w14:paraId="523CAF9D" w14:textId="77777777" w:rsidR="00D90642" w:rsidRDefault="00D90642" w:rsidP="00D90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D29F6B8" w14:textId="77777777" w:rsidR="00D90642" w:rsidRDefault="00D90642" w:rsidP="00D90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Sadržaj, podnošenje i donošenje izvještaja o izvršenju financijskog plana proračunskog i izvanproračunskog korisnika propisan je u čl. 81.-86. Zakona o proračunu (Nar. nov., br.144/21.), a detaljno uređen Pravilnikom o polugodišnjem i godišnjem izvještaj o izvršenju proračuna i financijskog plana (Nar. nov., br. 85/23.). </w:t>
      </w:r>
    </w:p>
    <w:p w14:paraId="4DEAE522" w14:textId="77777777" w:rsidR="00D90642" w:rsidRDefault="00D90642" w:rsidP="00243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Osnovna škola Zadarski otoci- Zadar podnosi školskom odboru izvještaj o izvršenju financijskog plana za razdoblje od 1. siječnja do 31. prosinca 2024. godine. Obveza izrade izvještaja o izvršenju za svakog proračunskog korisnika proizlazi iz činjenice da je financijski plan (koji je dio proračuna) donesen na razini svakog korisnika i usvojen od strane njegovog upravljačkog tijela, a izvještaj o izvršenju pokazuje ostvarenje tog plana. Izvještaj o izvršenju financijskog plana prati jesu li se i u kojim iznosima ostvarile planirane pozicije prihoda, primitaka, rashoda, izdataka, viškova i manjkova unutar jedne godine.  U prilogu je Izvještaj o godišnjem izvršenju financijskog plana za 2024. godinu gdje se nalaze sljedeći tabelarni pregledi: </w:t>
      </w:r>
    </w:p>
    <w:p w14:paraId="47651F98" w14:textId="77777777" w:rsidR="00D90642" w:rsidRDefault="00D90642" w:rsidP="0024319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 dio</w:t>
      </w:r>
    </w:p>
    <w:p w14:paraId="0D79E6AF" w14:textId="77777777" w:rsidR="00D90642" w:rsidRDefault="00D90642" w:rsidP="0024319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Sažetak A. računa prihoda i rashoda i B. Računa financiranja</w:t>
      </w:r>
    </w:p>
    <w:p w14:paraId="18938099" w14:textId="77777777" w:rsidR="00D90642" w:rsidRDefault="00D90642" w:rsidP="0024319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Račun prihoda i rashoda</w:t>
      </w:r>
    </w:p>
    <w:p w14:paraId="6DB929D2" w14:textId="77777777" w:rsidR="00D90642" w:rsidRDefault="00D90642" w:rsidP="0024319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izvještaj o prihodima i rashodima prema ekonomskoj klasifikaciji</w:t>
      </w:r>
    </w:p>
    <w:p w14:paraId="73865EFD" w14:textId="77777777" w:rsidR="00D90642" w:rsidRDefault="00D90642" w:rsidP="0024319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izvještaj o prihodima i rashodima prema izvorima financiranja</w:t>
      </w:r>
    </w:p>
    <w:p w14:paraId="04F6F9F0" w14:textId="77777777" w:rsidR="00D90642" w:rsidRDefault="00D90642" w:rsidP="0024319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izvještaj o rashodima prema funkcijskoj klasifikaciji</w:t>
      </w:r>
    </w:p>
    <w:p w14:paraId="11DF2091" w14:textId="77777777" w:rsidR="00D90642" w:rsidRDefault="00D90642" w:rsidP="00243198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Račun financiranja</w:t>
      </w:r>
    </w:p>
    <w:p w14:paraId="37F10CE1" w14:textId="77777777" w:rsidR="00D90642" w:rsidRDefault="00D90642" w:rsidP="00243198">
      <w:pPr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izvještaj računa financiranja prema ekonomskoj klasifikaciji</w:t>
      </w:r>
    </w:p>
    <w:p w14:paraId="3587E20A" w14:textId="77777777" w:rsidR="00D90642" w:rsidRPr="00243198" w:rsidRDefault="00D90642" w:rsidP="00243198">
      <w:pPr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izvještaj računa financiranja prema izvorima financiranja</w:t>
      </w:r>
    </w:p>
    <w:p w14:paraId="38F76C5B" w14:textId="77777777" w:rsidR="00D90642" w:rsidRDefault="00D90642" w:rsidP="00243198">
      <w:pPr>
        <w:pStyle w:val="Odlomakpopisa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Posebni dio – izvršenje rashoda i izdataka po izvorima financiranja i ekonomskoj klasifikaciji raspoređenih u programe koji se sastoje od aktivnosti i projekata</w:t>
      </w:r>
    </w:p>
    <w:p w14:paraId="0704A6EB" w14:textId="77777777" w:rsidR="00D90642" w:rsidRDefault="00D90642" w:rsidP="00243198">
      <w:pPr>
        <w:pStyle w:val="Odlomakpopisa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Obrazloženje</w:t>
      </w:r>
    </w:p>
    <w:p w14:paraId="58844043" w14:textId="77777777" w:rsidR="00D90642" w:rsidRDefault="00D90642" w:rsidP="00243198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Obrazloženja općeg dijela izvještaja o izvršenju financijskog plana</w:t>
      </w:r>
    </w:p>
    <w:p w14:paraId="64A241B3" w14:textId="77777777" w:rsidR="00D90642" w:rsidRDefault="00D90642" w:rsidP="00243198">
      <w:pPr>
        <w:numPr>
          <w:ilvl w:val="0"/>
          <w:numId w:val="5"/>
        </w:num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obrazloženje ostvarenja prihoda i rashoda, primitaka i izdataka</w:t>
      </w:r>
    </w:p>
    <w:p w14:paraId="3FBF576E" w14:textId="77777777" w:rsidR="00243198" w:rsidRPr="00243198" w:rsidRDefault="00D90642" w:rsidP="00243198">
      <w:pPr>
        <w:numPr>
          <w:ilvl w:val="0"/>
          <w:numId w:val="5"/>
        </w:num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obrazloženje prijenosa sredstava iz prethodne godine i prijenosa sredstava u sljedeću godinu za proračunske i izvanproračunske korisnike državnog proračuna, a za proračunske i izvanproračunske korisnike jedinica lokalne i područne (regionalne) samouprave prenesenog manjka </w:t>
      </w:r>
      <w:r w:rsidR="00243198">
        <w:rPr>
          <w:rFonts w:ascii="Times New Roman" w:eastAsia="Times New Roman" w:hAnsi="Times New Roman"/>
          <w:sz w:val="24"/>
          <w:szCs w:val="24"/>
          <w:lang w:eastAsia="hr-HR"/>
        </w:rPr>
        <w:t>odnosno viška financijskog plana</w:t>
      </w:r>
    </w:p>
    <w:p w14:paraId="2A89E3EA" w14:textId="60382A90" w:rsidR="00D90642" w:rsidRDefault="001249E1" w:rsidP="0024319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r w:rsidRPr="001249E1">
        <w:drawing>
          <wp:inline distT="0" distB="0" distL="0" distR="0" wp14:anchorId="3434C6F4" wp14:editId="32CC2A3F">
            <wp:extent cx="5760720" cy="4926016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90642" w:rsidRPr="00243198">
        <w:rPr>
          <w:rFonts w:ascii="Times New Roman" w:eastAsia="Times New Roman" w:hAnsi="Times New Roman"/>
          <w:sz w:val="24"/>
          <w:szCs w:val="24"/>
          <w:lang w:eastAsia="hr-HR"/>
        </w:rPr>
        <w:br w:type="page"/>
      </w:r>
    </w:p>
    <w:p w14:paraId="06F95064" w14:textId="77777777" w:rsidR="00D90642" w:rsidRDefault="00D90642" w:rsidP="00D90642">
      <w:pPr>
        <w:pStyle w:val="Odlomakpopisa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OBRAZLOŽENJE OPĆEG DIJELA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258DD1A4" w14:textId="77777777" w:rsidR="00D90642" w:rsidRDefault="00D90642" w:rsidP="00D90642">
      <w:pPr>
        <w:pStyle w:val="Odlomakpopisa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CB034BA" w14:textId="77777777" w:rsidR="00D90642" w:rsidRDefault="00D90642" w:rsidP="00D90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prijedlogu financijskog plana, Osnovna škola Zadarski otoci-Zadar ostvaruje prihode iz nadležnog proračuna grada Zadra za financiranje redovne djelatnosti na podskupini 67, odnosno iz izvora 11- opći prihodi i primici.; od proračuna koji im nije nadležan na podskupini 63, a pripadaju izvoru financiranja 57- pomoći: nadležno Ministarstvo-rashodi za zaposlene i materijalni rashodi ; Zadarska županija koja financira natjecanje Sigurno u prometu i natjecanje iz informatike; iz izvora 5402-sredstva iz EU za financiranje plaća i materijalnih prava za projekt Pomoćnika u nastavi i Shemu školskog voća i mlijeka; iz izvora 31- vlastiti prihodi koji čine prihodi iznajmljivanja sportske dvorane i zakup školskog prostora za kuhinju, prihodi od kamata; izvor financiranja 41- prihodi za posebne namjene koje se odnose na sufinanciranje cijene usluga, uplata za počinjenu štetu i sl. ; izvor financiranja 6103- donacije od Društva pedagoga tehničke kulture za natjecanje. Prihodi se koriste prvenstveno za redovito poslovanje te financiranje aktivnosti iz Godišnjeg plana i programa rada škole. Planirani višak prihoda se k</w:t>
      </w:r>
      <w:r w:rsidR="00243198">
        <w:rPr>
          <w:rFonts w:ascii="Times New Roman" w:hAnsi="Times New Roman"/>
          <w:sz w:val="24"/>
          <w:szCs w:val="24"/>
        </w:rPr>
        <w:t>oristi za pokriće rashoda u 2025</w:t>
      </w:r>
      <w:r>
        <w:rPr>
          <w:rFonts w:ascii="Times New Roman" w:hAnsi="Times New Roman"/>
          <w:sz w:val="24"/>
          <w:szCs w:val="24"/>
        </w:rPr>
        <w:t>. godini.</w:t>
      </w:r>
    </w:p>
    <w:p w14:paraId="1EE3AD99" w14:textId="77777777" w:rsidR="00D90642" w:rsidRDefault="00D90642" w:rsidP="00D90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izvještaja o izvršenju financijskog plana u razdoblju od 01.siječnja 202</w:t>
      </w:r>
      <w:r w:rsidR="00243198">
        <w:rPr>
          <w:rFonts w:ascii="Times New Roman" w:hAnsi="Times New Roman"/>
          <w:sz w:val="24"/>
          <w:szCs w:val="24"/>
        </w:rPr>
        <w:t>5. do 30. lipnja 2025</w:t>
      </w:r>
      <w:r>
        <w:rPr>
          <w:rFonts w:ascii="Times New Roman" w:hAnsi="Times New Roman"/>
          <w:sz w:val="24"/>
          <w:szCs w:val="24"/>
        </w:rPr>
        <w:t xml:space="preserve">. godine uspoređivani su elementi </w:t>
      </w:r>
      <w:r w:rsidR="00243198">
        <w:rPr>
          <w:rFonts w:ascii="Times New Roman" w:hAnsi="Times New Roman"/>
          <w:sz w:val="24"/>
          <w:szCs w:val="24"/>
        </w:rPr>
        <w:t>polugodišnjeg izvršenja 2025</w:t>
      </w:r>
      <w:r>
        <w:rPr>
          <w:rFonts w:ascii="Times New Roman" w:hAnsi="Times New Roman"/>
          <w:sz w:val="24"/>
          <w:szCs w:val="24"/>
        </w:rPr>
        <w:t>. u odnosu na pl</w:t>
      </w:r>
      <w:r w:rsidR="00243198">
        <w:rPr>
          <w:rFonts w:ascii="Times New Roman" w:hAnsi="Times New Roman"/>
          <w:sz w:val="24"/>
          <w:szCs w:val="24"/>
        </w:rPr>
        <w:t>an 2025</w:t>
      </w:r>
      <w:r>
        <w:rPr>
          <w:rFonts w:ascii="Times New Roman" w:hAnsi="Times New Roman"/>
          <w:sz w:val="24"/>
          <w:szCs w:val="24"/>
        </w:rPr>
        <w:t xml:space="preserve">. te elementi </w:t>
      </w:r>
      <w:r w:rsidR="00243198">
        <w:rPr>
          <w:rFonts w:ascii="Times New Roman" w:hAnsi="Times New Roman"/>
          <w:sz w:val="24"/>
          <w:szCs w:val="24"/>
        </w:rPr>
        <w:t>polugodišnjeg izvršenja 2025</w:t>
      </w:r>
      <w:r>
        <w:rPr>
          <w:rFonts w:ascii="Times New Roman" w:hAnsi="Times New Roman"/>
          <w:sz w:val="24"/>
          <w:szCs w:val="24"/>
        </w:rPr>
        <w:t xml:space="preserve">. </w:t>
      </w:r>
      <w:r w:rsidR="00243198">
        <w:rPr>
          <w:rFonts w:ascii="Times New Roman" w:hAnsi="Times New Roman"/>
          <w:sz w:val="24"/>
          <w:szCs w:val="24"/>
        </w:rPr>
        <w:t>naspram godišnjeg izvršenja 2024</w:t>
      </w:r>
      <w:r>
        <w:rPr>
          <w:rFonts w:ascii="Times New Roman" w:hAnsi="Times New Roman"/>
          <w:sz w:val="24"/>
          <w:szCs w:val="24"/>
        </w:rPr>
        <w:t>.</w:t>
      </w:r>
    </w:p>
    <w:p w14:paraId="1F877AE2" w14:textId="77777777" w:rsidR="00D90642" w:rsidRDefault="00D90642" w:rsidP="00D90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Indeks izvršenja prihoda iznosi </w:t>
      </w:r>
      <w:r w:rsidR="00243198">
        <w:rPr>
          <w:rFonts w:ascii="Times New Roman" w:hAnsi="Times New Roman"/>
          <w:sz w:val="24"/>
          <w:szCs w:val="24"/>
        </w:rPr>
        <w:t>45,44</w:t>
      </w:r>
      <w:r>
        <w:rPr>
          <w:rFonts w:ascii="Times New Roman" w:hAnsi="Times New Roman"/>
          <w:sz w:val="24"/>
          <w:szCs w:val="24"/>
        </w:rPr>
        <w:t xml:space="preserve">, a rashoda </w:t>
      </w:r>
      <w:r w:rsidR="00243198">
        <w:rPr>
          <w:rFonts w:ascii="Times New Roman" w:hAnsi="Times New Roman"/>
          <w:sz w:val="24"/>
          <w:szCs w:val="24"/>
        </w:rPr>
        <w:t>50,92</w:t>
      </w:r>
      <w:r>
        <w:rPr>
          <w:rFonts w:ascii="Times New Roman" w:hAnsi="Times New Roman"/>
          <w:sz w:val="24"/>
          <w:szCs w:val="24"/>
        </w:rPr>
        <w:t xml:space="preserve">  što znači da Škola ima rashode onolike koliko je utvrđeno planom te da nema probijanja Plana u ukupnom iznosu.</w:t>
      </w:r>
    </w:p>
    <w:p w14:paraId="2B8201B3" w14:textId="01FCBC83" w:rsidR="00D90642" w:rsidRDefault="003C2881" w:rsidP="00D90642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C2881">
        <w:drawing>
          <wp:anchor distT="0" distB="0" distL="114300" distR="114300" simplePos="0" relativeHeight="251659264" behindDoc="1" locked="0" layoutInCell="1" allowOverlap="1" wp14:anchorId="3904815D" wp14:editId="57D88DE2">
            <wp:simplePos x="0" y="0"/>
            <wp:positionH relativeFrom="margin">
              <wp:align>center</wp:align>
            </wp:positionH>
            <wp:positionV relativeFrom="paragraph">
              <wp:posOffset>915670</wp:posOffset>
            </wp:positionV>
            <wp:extent cx="6674662" cy="685031"/>
            <wp:effectExtent l="0" t="0" r="0" b="1270"/>
            <wp:wrapTight wrapText="bothSides">
              <wp:wrapPolygon edited="0">
                <wp:start x="0" y="0"/>
                <wp:lineTo x="0" y="21039"/>
                <wp:lineTo x="21269" y="21039"/>
                <wp:lineTo x="21392" y="20438"/>
                <wp:lineTo x="21516" y="19236"/>
                <wp:lineTo x="2151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62" cy="68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160" w:vertAnchor="page" w:horzAnchor="margin" w:tblpXSpec="center" w:tblpY="10726"/>
        <w:tblW w:w="11646" w:type="dxa"/>
        <w:tblLook w:val="04A0" w:firstRow="1" w:lastRow="0" w:firstColumn="1" w:lastColumn="0" w:noHBand="0" w:noVBand="1"/>
      </w:tblPr>
      <w:tblGrid>
        <w:gridCol w:w="11646"/>
      </w:tblGrid>
      <w:tr w:rsidR="00D90642" w14:paraId="5A543F00" w14:textId="77777777" w:rsidTr="003C2881">
        <w:trPr>
          <w:trHeight w:val="668"/>
        </w:trPr>
        <w:tc>
          <w:tcPr>
            <w:tcW w:w="11646" w:type="dxa"/>
            <w:vAlign w:val="center"/>
            <w:hideMark/>
          </w:tcPr>
          <w:p w14:paraId="35880273" w14:textId="24683AA6" w:rsidR="00D90642" w:rsidRDefault="003C2881" w:rsidP="00AB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</w:t>
            </w:r>
            <w:r w:rsidR="00D906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PREMA FUNKCIJSKOJ KLASIFIKACIJI</w:t>
            </w:r>
          </w:p>
          <w:p w14:paraId="3DD2C820" w14:textId="7A26F7E9" w:rsidR="00D90642" w:rsidRDefault="00D90642" w:rsidP="00AB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D01D8DC" w14:textId="1277336E" w:rsidR="00D90642" w:rsidRDefault="00D90642" w:rsidP="00D90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E96568" w14:textId="77777777" w:rsidR="00D90642" w:rsidRDefault="00D90642" w:rsidP="00D90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6E43FCA" w14:textId="77777777" w:rsidR="00D90642" w:rsidRDefault="00D90642" w:rsidP="00D90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Dodatne usluge u obrazovanju izvršeni su rashodi za Školsku shemu voća i mlijeka, prijevoz učenika s poteškoćama  te projekt besplatnih marendi za učenike u š</w:t>
      </w:r>
      <w:r w:rsidR="00D915C1">
        <w:rPr>
          <w:rFonts w:ascii="Times New Roman" w:eastAsia="Times New Roman" w:hAnsi="Times New Roman"/>
          <w:bCs/>
          <w:sz w:val="24"/>
          <w:szCs w:val="24"/>
          <w:lang w:eastAsia="hr-HR"/>
        </w:rPr>
        <w:t>kolama od siječnja 2023. godine.</w:t>
      </w:r>
      <w:r>
        <w:rPr>
          <w:rFonts w:ascii="Times New Roman" w:hAnsi="Times New Roman"/>
          <w:sz w:val="24"/>
          <w:szCs w:val="24"/>
        </w:rPr>
        <w:br w:type="page"/>
      </w:r>
    </w:p>
    <w:p w14:paraId="5D700FB5" w14:textId="77777777" w:rsidR="00D90642" w:rsidRDefault="00D90642" w:rsidP="00D90642">
      <w:pPr>
        <w:pStyle w:val="Odlomakpopisa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OBRAZLOŽENJE PROGRAMA (AKTIVNOSTI I PROJEKATA)</w:t>
      </w:r>
    </w:p>
    <w:p w14:paraId="2F177F1A" w14:textId="77777777" w:rsidR="00D90642" w:rsidRDefault="00D90642" w:rsidP="00D90642">
      <w:pPr>
        <w:spacing w:after="20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73D4F3" w14:textId="77777777" w:rsidR="00D90642" w:rsidRDefault="00D90642" w:rsidP="00D90642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Zakona o odgoju i obrazovanju u osnovnoj i srednjoj školi i Zakona o financiranju jedinica lokalne i područne (regionalne) samouprave osnivač škole Grad Zadar, kao jedinica lokalne samouprave koja je preuzela financiranje decentraliziranih funkcija osnovnog školstva. Škola svojim financijskim planom predviđa sredstva potrebna za materijalne i financijske rashode škole, rashode za nabavu proizvedene dugotrajne imovine kao i rashode za dodatna ulaganja na nefinancijskoj imovini. Planirani i izvršeni rashodi navedeni su po aktivnostima. Financijskim planom planirana su sredstva za provođenje programa Osnovnoškolsko obrazovanje i </w:t>
      </w:r>
      <w:proofErr w:type="spellStart"/>
      <w:r>
        <w:rPr>
          <w:rFonts w:ascii="Times New Roman" w:hAnsi="Times New Roman"/>
          <w:sz w:val="24"/>
          <w:szCs w:val="24"/>
        </w:rPr>
        <w:t>Izvanstandardni</w:t>
      </w:r>
      <w:proofErr w:type="spellEnd"/>
      <w:r>
        <w:rPr>
          <w:rFonts w:ascii="Times New Roman" w:hAnsi="Times New Roman"/>
          <w:sz w:val="24"/>
          <w:szCs w:val="24"/>
        </w:rPr>
        <w:t xml:space="preserve"> programi u školama.</w:t>
      </w:r>
    </w:p>
    <w:p w14:paraId="7DBD3335" w14:textId="77777777" w:rsidR="00D90642" w:rsidRDefault="00D90642" w:rsidP="00D9064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1012- Osnovnoškolsko obrazovanje provodi se kroz sljedeće aktivnosti:</w:t>
      </w:r>
    </w:p>
    <w:p w14:paraId="5E627CA7" w14:textId="77777777" w:rsidR="00D90642" w:rsidRDefault="00D90642" w:rsidP="00D9064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1012-01 Materijalni rashodi škola –STANDARD </w:t>
      </w:r>
    </w:p>
    <w:p w14:paraId="0354EB03" w14:textId="77777777" w:rsidR="00D90642" w:rsidRDefault="00D90642" w:rsidP="00D9064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1012-02 Financijski rashodi škola - STANDARD </w:t>
      </w:r>
    </w:p>
    <w:p w14:paraId="6BC88B7C" w14:textId="77777777" w:rsidR="00D90642" w:rsidRDefault="00D90642" w:rsidP="00D9064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15C1">
        <w:rPr>
          <w:rFonts w:ascii="Times New Roman" w:hAnsi="Times New Roman"/>
          <w:sz w:val="24"/>
          <w:szCs w:val="24"/>
        </w:rPr>
        <w:t>aktivnost</w:t>
      </w:r>
      <w:r>
        <w:rPr>
          <w:rFonts w:ascii="Times New Roman" w:hAnsi="Times New Roman"/>
          <w:sz w:val="24"/>
          <w:szCs w:val="24"/>
        </w:rPr>
        <w:t xml:space="preserve"> 1012-03 Opremanje škola - STANDARD </w:t>
      </w:r>
    </w:p>
    <w:p w14:paraId="079BF323" w14:textId="77777777" w:rsidR="00D915C1" w:rsidRDefault="00D915C1" w:rsidP="00D9064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aktivnost 1012-04 Dodatna ulaganja STANDARD</w:t>
      </w:r>
    </w:p>
    <w:p w14:paraId="04CB3D17" w14:textId="77777777" w:rsidR="00D90642" w:rsidRDefault="00D90642" w:rsidP="00D9064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1012-05 </w:t>
      </w:r>
      <w:r w:rsidRPr="00E632B7">
        <w:rPr>
          <w:rFonts w:ascii="Times New Roman" w:hAnsi="Times New Roman"/>
          <w:sz w:val="24"/>
          <w:szCs w:val="24"/>
        </w:rPr>
        <w:t>Rashodi za zaposlene i materijalni rashodi- IZVANSTANDARD</w:t>
      </w:r>
    </w:p>
    <w:p w14:paraId="03F357C0" w14:textId="77777777" w:rsidR="00D90642" w:rsidRDefault="00D90642" w:rsidP="00D9064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1012-09 Vlastiti i namjenski prihodi škola – rashodi za zaposlene </w:t>
      </w:r>
    </w:p>
    <w:p w14:paraId="297A23AA" w14:textId="77777777" w:rsidR="00D90642" w:rsidRDefault="00D90642" w:rsidP="00D9064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aktivnost 1012-10 Vlastiti i namjenski prihodi škola – materijalni rashodi</w:t>
      </w:r>
    </w:p>
    <w:p w14:paraId="4DB6EC1A" w14:textId="77777777" w:rsidR="00D90642" w:rsidRDefault="00D90642" w:rsidP="00D90642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aktivnost 1012-12 Vlastiti i namjenski prihodi škola-opremanje škola</w:t>
      </w:r>
    </w:p>
    <w:p w14:paraId="7D8C75E3" w14:textId="77777777" w:rsidR="00D90642" w:rsidRDefault="00D915C1" w:rsidP="00D90642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Planirana su sredstva za 2025</w:t>
      </w:r>
      <w:r w:rsidR="00D90642">
        <w:rPr>
          <w:rFonts w:ascii="Times New Roman" w:hAnsi="Times New Roman"/>
          <w:sz w:val="24"/>
          <w:szCs w:val="24"/>
        </w:rPr>
        <w:t xml:space="preserve">. godinu za materijalne i financijske rashode škole te rashode za nabavu proizvedene dugotrajne imovine financirane iz Proračuna Grada Zadra (A 1012-01, A 1012-02 i kapitalni projekt 1012-03) i izvršenje ne probija planirane iznose. </w:t>
      </w:r>
    </w:p>
    <w:p w14:paraId="10937A82" w14:textId="77777777" w:rsidR="00D90642" w:rsidRDefault="00D90642" w:rsidP="00D90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Ishodišta i pokazatelji na kojima se zasnivaju izračuni i ocjene potrebnih sredstava za provođenje programa temeljeni su na procjenama utrošenih sredstava prethodnih godina, procjeni stvarnog stanja u školi, broju učenika, odjela i broju građevina.</w:t>
      </w:r>
    </w:p>
    <w:tbl>
      <w:tblPr>
        <w:tblpPr w:leftFromText="180" w:rightFromText="180" w:bottomFromText="160" w:vertAnchor="text" w:horzAnchor="page" w:tblpX="1" w:tblpY="40"/>
        <w:tblW w:w="11200" w:type="dxa"/>
        <w:tblLook w:val="04A0" w:firstRow="1" w:lastRow="0" w:firstColumn="1" w:lastColumn="0" w:noHBand="0" w:noVBand="1"/>
      </w:tblPr>
      <w:tblGrid>
        <w:gridCol w:w="1859"/>
        <w:gridCol w:w="1608"/>
        <w:gridCol w:w="1188"/>
        <w:gridCol w:w="1437"/>
        <w:gridCol w:w="1656"/>
        <w:gridCol w:w="1736"/>
        <w:gridCol w:w="1716"/>
      </w:tblGrid>
      <w:tr w:rsidR="00D915C1" w:rsidRPr="00D915C1" w14:paraId="691AB6EF" w14:textId="77777777" w:rsidTr="00D915C1">
        <w:trPr>
          <w:trHeight w:val="57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F7637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 uspješnosti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6DD2C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9583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782BB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F05FE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 2024.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5B4BE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 2025.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3C433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 2026.</w:t>
            </w:r>
          </w:p>
        </w:tc>
      </w:tr>
      <w:tr w:rsidR="00D915C1" w:rsidRPr="00D915C1" w14:paraId="41250336" w14:textId="77777777" w:rsidTr="00D915C1">
        <w:trPr>
          <w:trHeight w:val="503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8E9EF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33A02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Učenici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543CD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710F4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20F53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780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29CDA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8056D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780</w:t>
            </w:r>
          </w:p>
        </w:tc>
      </w:tr>
      <w:tr w:rsidR="00D915C1" w:rsidRPr="00D915C1" w14:paraId="49522B46" w14:textId="77777777" w:rsidTr="00D915C1">
        <w:trPr>
          <w:trHeight w:val="503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8F593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 odjela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1E2C4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Odjeli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5554B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5DAC9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7483C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D8F9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2A49F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42</w:t>
            </w:r>
          </w:p>
        </w:tc>
      </w:tr>
      <w:tr w:rsidR="00D915C1" w:rsidRPr="00D915C1" w14:paraId="598B1993" w14:textId="77777777" w:rsidTr="00D915C1">
        <w:trPr>
          <w:trHeight w:val="503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2E927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 šk. građevina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77D5F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Građevine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17741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8FF55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507E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4F234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C7541" w14:textId="77777777" w:rsidR="00D915C1" w:rsidRPr="00D915C1" w:rsidRDefault="00D915C1" w:rsidP="00D91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D915C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4 </w:t>
            </w:r>
          </w:p>
        </w:tc>
      </w:tr>
    </w:tbl>
    <w:p w14:paraId="486109DF" w14:textId="77777777" w:rsidR="00D90642" w:rsidRDefault="00D90642" w:rsidP="00D9064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Na temelju članka 143. Zakona o odgoju i obrazovanju u osnovnoj i srednjoj školi jedinica lokalne samouprave može utvrditi šire javne potrebe u djelatnosti osnovnog i srednjeg školstva. Ovim programom javnih potreba utvrđuju se šire javne potrebe kroz projekte: programi izvanškolskih i izvannastavnih aktivnosti, program produženog boravka, program financiranja drugih obrazovnih materijala (radne bilježnice), program osobni pomoćnici u nastavi i program predškole djeci na otocima.</w:t>
      </w:r>
    </w:p>
    <w:p w14:paraId="4DC49850" w14:textId="77777777" w:rsidR="00D915C1" w:rsidRDefault="00D90642" w:rsidP="00D90642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1013 Izvan standardni programi u školama provodi se kroz sljedeće aktivnosti:</w:t>
      </w:r>
    </w:p>
    <w:p w14:paraId="0A1408E9" w14:textId="77777777" w:rsidR="00D90642" w:rsidRDefault="00D90642" w:rsidP="00D90642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15C1">
        <w:rPr>
          <w:rFonts w:ascii="Times New Roman" w:hAnsi="Times New Roman"/>
          <w:sz w:val="24"/>
          <w:szCs w:val="24"/>
        </w:rPr>
        <w:t xml:space="preserve">Aktivnost 1013-04 Izvanškolske aktivnosti </w:t>
      </w:r>
    </w:p>
    <w:p w14:paraId="3DA68FF0" w14:textId="77777777" w:rsidR="00D90642" w:rsidRDefault="00D90642" w:rsidP="00D90642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1013-06 Produženi boravak </w:t>
      </w:r>
    </w:p>
    <w:p w14:paraId="39ECB3FE" w14:textId="77777777" w:rsidR="00D90642" w:rsidRDefault="00D90642" w:rsidP="00D90642">
      <w:pPr>
        <w:spacing w:after="20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Aktivnost 1013-07 Financiranje nabave drugih obrazovnih materijala </w:t>
      </w:r>
    </w:p>
    <w:p w14:paraId="48C1EDE4" w14:textId="77777777" w:rsidR="00D90642" w:rsidRDefault="00D90642" w:rsidP="00D90642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Aktivnost 1013-13 Prehrana učenika u osnovnim školama</w:t>
      </w:r>
    </w:p>
    <w:p w14:paraId="52D01CC4" w14:textId="77777777" w:rsidR="00D90642" w:rsidRDefault="00D90642" w:rsidP="00D90642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Aktivnost 1013-14 Škola puna mogućnosti 7</w:t>
      </w:r>
    </w:p>
    <w:p w14:paraId="14EC7C59" w14:textId="77777777" w:rsidR="00D90642" w:rsidRDefault="00D90642" w:rsidP="00D90642">
      <w:pPr>
        <w:spacing w:after="200" w:line="276" w:lineRule="auto"/>
        <w:jc w:val="both"/>
      </w:pPr>
      <w:r>
        <w:rPr>
          <w:rFonts w:ascii="Times New Roman" w:hAnsi="Times New Roman"/>
          <w:sz w:val="24"/>
          <w:szCs w:val="24"/>
        </w:rPr>
        <w:t>- Aktivnost 1013-17 Program predškole</w:t>
      </w:r>
      <w:r>
        <w:t xml:space="preserve"> </w:t>
      </w:r>
    </w:p>
    <w:p w14:paraId="4F6B2072" w14:textId="77777777" w:rsidR="00D90642" w:rsidRDefault="00D90642" w:rsidP="00D9064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Broj učenika i skupina u produženom boravku povećala se radi potražnje zaposlenih roditelja za ovom vrstom usluge. </w:t>
      </w:r>
      <w:r>
        <w:rPr>
          <w:rFonts w:ascii="Times New Roman" w:hAnsi="Times New Roman"/>
          <w:sz w:val="24"/>
          <w:szCs w:val="24"/>
        </w:rPr>
        <w:t>Planirana su i izvršena sredstva za plaće, materijalna prava i prijevoz 4 učiteljice u produženom boravku.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Školska shema jedan je od programa kojim se provodi dio javnozdravstvene politike Europske unije, a kojim se potiče promoviranje zdravog načina života, osobito djece i mladih osoba, obrazovana ustanova opskrbljuje se voćem i mlijekom.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Radi sve većeg porasta učenika sa teškoćama koji ne mogu samostalno pohađati odgojno-obrazovni proces nužno je povećanje broja pomoćnika u nastavi.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Planirani i izvršeni iznos za 20 pomoćnika u nastavi odnosi se na plaće, prijevoz i materijalna prava.</w:t>
      </w:r>
    </w:p>
    <w:p w14:paraId="5BC8A581" w14:textId="77777777" w:rsidR="00D90642" w:rsidRDefault="00D90642" w:rsidP="00D90642">
      <w:pPr>
        <w:spacing w:after="200" w:line="360" w:lineRule="auto"/>
        <w:jc w:val="both"/>
        <w:rPr>
          <w:rFonts w:ascii="Times New Roman" w:hAnsi="Times New Roman"/>
        </w:rPr>
      </w:pPr>
    </w:p>
    <w:p w14:paraId="3B823BE0" w14:textId="77777777" w:rsidR="00D90642" w:rsidRDefault="00D90642" w:rsidP="00D90642">
      <w:pPr>
        <w:tabs>
          <w:tab w:val="left" w:pos="694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Ravnatelj:</w:t>
      </w:r>
    </w:p>
    <w:p w14:paraId="0E3FDD70" w14:textId="77777777" w:rsidR="00D90642" w:rsidRDefault="00D90642" w:rsidP="00D90642">
      <w:pPr>
        <w:tabs>
          <w:tab w:val="left" w:pos="694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Davor Barić, dipl.ing.</w:t>
      </w:r>
      <w:r>
        <w:rPr>
          <w:rFonts w:ascii="Times New Roman" w:hAnsi="Times New Roman"/>
          <w:sz w:val="24"/>
        </w:rPr>
        <w:t xml:space="preserve">                               </w:t>
      </w:r>
    </w:p>
    <w:p w14:paraId="431EDC17" w14:textId="77777777" w:rsidR="00D90642" w:rsidRDefault="00D90642" w:rsidP="00D90642"/>
    <w:p w14:paraId="11EE465C" w14:textId="77777777" w:rsidR="0088184C" w:rsidRDefault="0088184C"/>
    <w:sectPr w:rsidR="0088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1CD7"/>
    <w:multiLevelType w:val="hybridMultilevel"/>
    <w:tmpl w:val="941EB0DC"/>
    <w:lvl w:ilvl="0" w:tplc="041A000F">
      <w:start w:val="2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10CA"/>
    <w:multiLevelType w:val="hybridMultilevel"/>
    <w:tmpl w:val="E11694B2"/>
    <w:lvl w:ilvl="0" w:tplc="6BB226C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59593A"/>
    <w:multiLevelType w:val="hybridMultilevel"/>
    <w:tmpl w:val="ABE03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744F86"/>
    <w:multiLevelType w:val="hybridMultilevel"/>
    <w:tmpl w:val="F72C00F0"/>
    <w:lvl w:ilvl="0" w:tplc="8CA40CDE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51860"/>
    <w:multiLevelType w:val="hybridMultilevel"/>
    <w:tmpl w:val="B2365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25645D"/>
    <w:multiLevelType w:val="hybridMultilevel"/>
    <w:tmpl w:val="8F94B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F1"/>
    <w:rsid w:val="00111CCB"/>
    <w:rsid w:val="001249E1"/>
    <w:rsid w:val="00243198"/>
    <w:rsid w:val="002B6F00"/>
    <w:rsid w:val="003358BD"/>
    <w:rsid w:val="003C2881"/>
    <w:rsid w:val="0088184C"/>
    <w:rsid w:val="00A359F1"/>
    <w:rsid w:val="00D164EE"/>
    <w:rsid w:val="00D90642"/>
    <w:rsid w:val="00D915C1"/>
    <w:rsid w:val="00E2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3795"/>
  <w15:chartTrackingRefBased/>
  <w15:docId w15:val="{C22448AC-3CCA-4B7A-9A32-1FA22A67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42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9064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9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ured@os-zadarski-otoci-zd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Zadarski otoci</dc:creator>
  <cp:keywords/>
  <dc:description/>
  <cp:lastModifiedBy>OŠ Zadarski otoci</cp:lastModifiedBy>
  <cp:revision>6</cp:revision>
  <dcterms:created xsi:type="dcterms:W3CDTF">2025-07-11T10:48:00Z</dcterms:created>
  <dcterms:modified xsi:type="dcterms:W3CDTF">2025-07-11T12:21:00Z</dcterms:modified>
</cp:coreProperties>
</file>