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40" w:rsidRDefault="00710240" w:rsidP="0071024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ZADARSKA ŽUPANIJA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ZADARSKI OTOCI-ZADAR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DAMIRA TOMLJANOVIĆA GAVRANA 2,23000 ZADAR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31690679863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023/328-041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: </w:t>
      </w:r>
      <w:hyperlink r:id="rId6" w:history="1">
        <w:r>
          <w:rPr>
            <w:rStyle w:val="Hiperveza"/>
          </w:rPr>
          <w:t>ured@os-zadarski-otoci-zd.skole.hr</w:t>
        </w:r>
      </w:hyperlink>
    </w:p>
    <w:p w:rsidR="00AB39FC" w:rsidRPr="003D1D15" w:rsidRDefault="00AB39FC" w:rsidP="00AB3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3D1D15">
        <w:rPr>
          <w:rFonts w:ascii="Times New Roman" w:hAnsi="Times New Roman" w:cs="Times New Roman"/>
          <w:sz w:val="24"/>
          <w:szCs w:val="24"/>
        </w:rPr>
        <w:t>400-02/25-01/1</w:t>
      </w:r>
    </w:p>
    <w:p w:rsidR="00AB39FC" w:rsidRPr="003D1D15" w:rsidRDefault="00AB39FC" w:rsidP="00AB3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1D15">
        <w:rPr>
          <w:rFonts w:ascii="Times New Roman" w:hAnsi="Times New Roman" w:cs="Times New Roman"/>
          <w:sz w:val="24"/>
          <w:szCs w:val="24"/>
        </w:rPr>
        <w:t>URBROJ: 2198-1-9-1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A4163A">
        <w:rPr>
          <w:rFonts w:ascii="Times New Roman" w:hAnsi="Times New Roman" w:cs="Times New Roman"/>
          <w:sz w:val="24"/>
          <w:szCs w:val="24"/>
        </w:rPr>
        <w:t xml:space="preserve">31. </w:t>
      </w:r>
      <w:r>
        <w:rPr>
          <w:rFonts w:ascii="Times New Roman" w:hAnsi="Times New Roman" w:cs="Times New Roman"/>
          <w:sz w:val="24"/>
          <w:szCs w:val="24"/>
        </w:rPr>
        <w:t>listopada 2025.</w:t>
      </w:r>
    </w:p>
    <w:p w:rsidR="00710240" w:rsidRDefault="00710240" w:rsidP="007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FINANCIJSKOG PLANA OSNOVNE ŠKO</w:t>
      </w:r>
      <w:r w:rsidR="00716815">
        <w:rPr>
          <w:rFonts w:ascii="Times New Roman" w:hAnsi="Times New Roman" w:cs="Times New Roman"/>
          <w:b/>
          <w:sz w:val="24"/>
          <w:szCs w:val="24"/>
        </w:rPr>
        <w:t>LE ZADARSKI OTOCI-ZADAR  ZA 2026. I PROJEKCIJA PLANA ZA 2027. I 2028</w:t>
      </w:r>
      <w:r>
        <w:rPr>
          <w:rFonts w:ascii="Times New Roman" w:hAnsi="Times New Roman" w:cs="Times New Roman"/>
          <w:b/>
          <w:sz w:val="24"/>
          <w:szCs w:val="24"/>
        </w:rPr>
        <w:t>.  GODINU</w:t>
      </w:r>
    </w:p>
    <w:p w:rsidR="00710240" w:rsidRDefault="00710240" w:rsidP="0071024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710240" w:rsidRDefault="00710240" w:rsidP="0071024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UVOD –sažetak djelokruga rada škole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Zadarski otoci- Zadar obavlja odgojno-obrazovnu djelatnost u Zadru, sjedištu Zadarske županije, predio Bili Brig. Škola ima 6 područnih škola smještene na otocima sjeverozapadnog dijela zadarskog arhipelaga: Olib, Veli Iž, Molat, Premuda, Ist i Silba. U područnoj školi Silba i Veli iž izvodi se predškola za po jednog polazni</w:t>
      </w:r>
      <w:r w:rsidR="00D56ADB">
        <w:rPr>
          <w:rFonts w:ascii="Times New Roman" w:hAnsi="Times New Roman" w:cs="Times New Roman"/>
          <w:sz w:val="24"/>
          <w:szCs w:val="24"/>
        </w:rPr>
        <w:t>ka u svakoj školi u šk.god. 2025/2026</w:t>
      </w:r>
      <w:r>
        <w:rPr>
          <w:rFonts w:ascii="Times New Roman" w:hAnsi="Times New Roman" w:cs="Times New Roman"/>
          <w:sz w:val="24"/>
          <w:szCs w:val="24"/>
        </w:rPr>
        <w:t>. Područni razredni odjeli Premuda, Molat i Ist su zatvoreni. Matičnu školu pohađa</w:t>
      </w:r>
      <w:r w:rsidR="00A4163A">
        <w:rPr>
          <w:rFonts w:ascii="Times New Roman" w:hAnsi="Times New Roman" w:cs="Times New Roman"/>
          <w:sz w:val="24"/>
          <w:szCs w:val="24"/>
        </w:rPr>
        <w:t xml:space="preserve"> </w:t>
      </w:r>
      <w:r w:rsidR="00A4163A" w:rsidRPr="00A4163A">
        <w:rPr>
          <w:rFonts w:ascii="Times New Roman" w:hAnsi="Times New Roman" w:cs="Times New Roman"/>
          <w:sz w:val="24"/>
          <w:szCs w:val="24"/>
        </w:rPr>
        <w:t xml:space="preserve">716 </w:t>
      </w:r>
      <w:r w:rsidR="00A4163A">
        <w:rPr>
          <w:rFonts w:ascii="Times New Roman" w:hAnsi="Times New Roman" w:cs="Times New Roman"/>
          <w:sz w:val="24"/>
          <w:szCs w:val="24"/>
        </w:rPr>
        <w:t>učenika u ukupno 35</w:t>
      </w:r>
      <w:r>
        <w:rPr>
          <w:rFonts w:ascii="Times New Roman" w:hAnsi="Times New Roman" w:cs="Times New Roman"/>
          <w:sz w:val="24"/>
          <w:szCs w:val="24"/>
        </w:rPr>
        <w:t xml:space="preserve"> razrednih odjela</w:t>
      </w:r>
      <w:r w:rsidR="00D5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posebni odjel (čl.8. st. 5), a područni razredni odjeli Veli Iž, Silba i Olib sveukupno imaju </w:t>
      </w:r>
      <w:r w:rsidR="00A4163A" w:rsidRPr="00A4163A">
        <w:rPr>
          <w:rFonts w:ascii="Times New Roman" w:hAnsi="Times New Roman" w:cs="Times New Roman"/>
          <w:sz w:val="24"/>
          <w:szCs w:val="24"/>
        </w:rPr>
        <w:t>18</w:t>
      </w:r>
      <w:r w:rsidRPr="00A416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učenika u ukupno</w:t>
      </w:r>
      <w:r w:rsidRPr="00D56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163A">
        <w:rPr>
          <w:rFonts w:ascii="Times New Roman" w:hAnsi="Times New Roman" w:cs="Times New Roman"/>
          <w:sz w:val="24"/>
          <w:szCs w:val="24"/>
        </w:rPr>
        <w:t>6</w:t>
      </w:r>
      <w:r w:rsidRPr="00D56A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razrednih odjela. Nastava je organizirana u dvije smjene na način da su niži i viši razredi u suprotnim smjenama i da se tjedno izmjenjuju po smjenama. Organizirane su četiri grupe produženog boravka za učenike prvih i drugih razreda od toga tri razreda razredne nastave uvijek imaju nastavu u jutarnjoj smjeni. 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proračunu sukladno člancima 38.,39, i 42. i upute o</w:t>
      </w:r>
      <w:r w:rsidR="00D56ADB">
        <w:rPr>
          <w:rFonts w:ascii="Times New Roman" w:hAnsi="Times New Roman" w:cs="Times New Roman"/>
          <w:sz w:val="24"/>
          <w:szCs w:val="24"/>
        </w:rPr>
        <w:t>snivača financijski plan za 2026. kao i projekcije plana za 2027. i 2028</w:t>
      </w:r>
      <w:r>
        <w:rPr>
          <w:rFonts w:ascii="Times New Roman" w:hAnsi="Times New Roman" w:cs="Times New Roman"/>
          <w:sz w:val="24"/>
          <w:szCs w:val="24"/>
        </w:rPr>
        <w:t>. godinu donose se i  usvajaju  se na razini skupine ekonomske klasifikacije. Kao baza za planiranje uzeta su sredstva</w:t>
      </w:r>
      <w:r w:rsidR="00D56ADB">
        <w:rPr>
          <w:rFonts w:ascii="Times New Roman" w:hAnsi="Times New Roman" w:cs="Times New Roman"/>
          <w:sz w:val="24"/>
          <w:szCs w:val="24"/>
        </w:rPr>
        <w:t xml:space="preserve"> ostvarena za devet mjeseci 2025</w:t>
      </w:r>
      <w:r>
        <w:rPr>
          <w:rFonts w:ascii="Times New Roman" w:hAnsi="Times New Roman" w:cs="Times New Roman"/>
          <w:sz w:val="24"/>
          <w:szCs w:val="24"/>
        </w:rPr>
        <w:t xml:space="preserve">. uvećana za predviđeni priliv sredstava za deseti,  jedanaesti i dvanaesti mjesec. 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sastoji se od općeg dijela (Sažetak Računa prihoda i rashoda, Račun prihoda i rashoda prema ekonomskoj klasifikaciji, izvorima financiranja, funkcijskoj klasifikaciji), posebnog dijela (programi i aktivnosti) i Obrazloženja.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RAČUN PRIHODA I RASHODA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Prema prijedlogu financijskog plana, Osnovna škola Zadarski otoci-Zadar ostvaruje prihode iz nadležnog proračuna grada Zadra za financiranje redovne djelatnosti na podskupini 67, odnosno iz </w:t>
      </w:r>
      <w:r>
        <w:rPr>
          <w:rFonts w:ascii="Times New Roman" w:hAnsi="Times New Roman" w:cs="Times New Roman"/>
          <w:sz w:val="24"/>
          <w:szCs w:val="24"/>
        </w:rPr>
        <w:t xml:space="preserve">izvora 11- opći prihodi i primici.; od proračuna koji im nije nadležan na podskupini 63, a pripadaju izvoru financiranja 57- pomoći: nadležno Ministarstvo-rashodi za zaposlene i materijalni rashodi, prehrana učenika ; Zadarska županija koja financira natjecanje Sigurno u prometu i natjecanje iz informatike; iz izvora 5402-sredstva iz EU za financiranje plaća i materijalnih prava za projekt Pomoćnika u nastavi i Shemu školskog voća i mlijeka; iz izvora 31- vlastiti prihodi koji čine prihodi iznajmljivanja sportske dvorane i zakup školskog prostora za kuhinju, prihodi od prodaje proizvoda učeničke zadruge „Škabelin“; izvor financiranja 41- prihodi za posebne namjene koje se odnose na sufinanciranje cijene usluga, uplata za počinjenu štetu i sl. ; izvor financiranja 6103- donacije od Društva pedagoga tehničke kulture za natjecanje. Prihodi se koriste prvenstveno za redovito poslovanje te financiranje aktivnosti iz Godišnjeg plana i programa rada škole. U financijski plan potrebno je uključiti i preneseni rezultat, odnosno preneseni manjak ili višak prihoda.  </w:t>
      </w:r>
      <w:r>
        <w:rPr>
          <w:rFonts w:ascii="Times New Roman" w:hAnsi="Times New Roman" w:cs="Times New Roman"/>
          <w:sz w:val="24"/>
        </w:rPr>
        <w:t>Planirani višak prihoda koji će se kor</w:t>
      </w:r>
      <w:r w:rsidR="00D56ADB">
        <w:rPr>
          <w:rFonts w:ascii="Times New Roman" w:hAnsi="Times New Roman" w:cs="Times New Roman"/>
          <w:sz w:val="24"/>
        </w:rPr>
        <w:t>istiti za pokriće rashoda u 2026</w:t>
      </w:r>
      <w:r>
        <w:rPr>
          <w:rFonts w:ascii="Times New Roman" w:hAnsi="Times New Roman" w:cs="Times New Roman"/>
          <w:sz w:val="24"/>
        </w:rPr>
        <w:t xml:space="preserve">. godini  iznosi </w:t>
      </w:r>
      <w:r w:rsidRPr="00D56ADB">
        <w:rPr>
          <w:rFonts w:ascii="Times New Roman" w:hAnsi="Times New Roman" w:cs="Times New Roman"/>
          <w:color w:val="FF0000"/>
          <w:sz w:val="24"/>
        </w:rPr>
        <w:t xml:space="preserve"> </w:t>
      </w:r>
      <w:r w:rsidRPr="002E05FA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višak prihoda od najma dvorane kojim će se financirati tekuće i investicijsko održavanje objekta ta nabava opreme u iznosu od 80% , a za ostale potrebe 20% iznosa ostvarenog viška. </w:t>
      </w:r>
    </w:p>
    <w:p w:rsidR="00D56ADB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planirani </w:t>
      </w:r>
      <w:r w:rsidR="00D56ADB">
        <w:rPr>
          <w:rFonts w:ascii="Times New Roman" w:hAnsi="Times New Roman" w:cs="Times New Roman"/>
          <w:sz w:val="24"/>
          <w:szCs w:val="24"/>
        </w:rPr>
        <w:t xml:space="preserve">prihodi za 2026. godinu iznose </w:t>
      </w:r>
      <w:r w:rsidR="003005DA">
        <w:rPr>
          <w:rFonts w:ascii="Times New Roman" w:hAnsi="Times New Roman" w:cs="Times New Roman"/>
          <w:sz w:val="24"/>
          <w:szCs w:val="24"/>
        </w:rPr>
        <w:t>4.031.815,94</w:t>
      </w:r>
      <w:bookmarkStart w:id="0" w:name="_GoBack"/>
      <w:bookmarkEnd w:id="0"/>
      <w:r w:rsidR="002E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 a  rashodi</w:t>
      </w:r>
      <w:r w:rsidR="002E05FA">
        <w:rPr>
          <w:rFonts w:ascii="Times New Roman" w:hAnsi="Times New Roman" w:cs="Times New Roman"/>
          <w:sz w:val="24"/>
          <w:szCs w:val="24"/>
        </w:rPr>
        <w:t xml:space="preserve"> 4</w:t>
      </w:r>
      <w:r w:rsidR="00B1685C">
        <w:rPr>
          <w:rFonts w:ascii="Times New Roman" w:hAnsi="Times New Roman" w:cs="Times New Roman"/>
          <w:sz w:val="24"/>
          <w:szCs w:val="24"/>
        </w:rPr>
        <w:t>.038.</w:t>
      </w:r>
      <w:r w:rsidR="003005DA">
        <w:rPr>
          <w:rFonts w:ascii="Times New Roman" w:hAnsi="Times New Roman" w:cs="Times New Roman"/>
          <w:sz w:val="24"/>
          <w:szCs w:val="24"/>
        </w:rPr>
        <w:t>307,44</w:t>
      </w:r>
      <w:r w:rsidR="00C07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eura. </w:t>
      </w:r>
    </w:p>
    <w:p w:rsidR="00710240" w:rsidRDefault="00D56ADB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u 2026</w:t>
      </w:r>
      <w:r w:rsidR="00710240">
        <w:rPr>
          <w:rFonts w:ascii="Times New Roman" w:hAnsi="Times New Roman" w:cs="Times New Roman"/>
          <w:sz w:val="24"/>
          <w:szCs w:val="24"/>
        </w:rPr>
        <w:t>. godini će se p</w:t>
      </w:r>
      <w:r>
        <w:rPr>
          <w:rFonts w:ascii="Times New Roman" w:hAnsi="Times New Roman" w:cs="Times New Roman"/>
          <w:sz w:val="24"/>
          <w:szCs w:val="24"/>
        </w:rPr>
        <w:t>okriti planiranim viškom iz 2025</w:t>
      </w:r>
      <w:r w:rsidR="002E05FA">
        <w:rPr>
          <w:rFonts w:ascii="Times New Roman" w:hAnsi="Times New Roman" w:cs="Times New Roman"/>
          <w:sz w:val="24"/>
          <w:szCs w:val="24"/>
        </w:rPr>
        <w:t xml:space="preserve">. godine u iznosu 6.491,50 eura </w:t>
      </w:r>
      <w:r w:rsidR="00710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40" w:rsidRDefault="00710240" w:rsidP="00710240">
      <w:p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PRIHODI POSLOVANJA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 xml:space="preserve"> Pomoći proračunskim korisnicima iz proračuna koji im nije nadležan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636 - Tekuće pomoći proračunskim korisnicima iz proračuna koji im nije nadležan – MZOS      </w:t>
      </w:r>
    </w:p>
    <w:p w:rsidR="00710240" w:rsidRDefault="003F61D4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plaće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6223D">
        <w:rPr>
          <w:rFonts w:ascii="Times New Roman" w:hAnsi="Times New Roman" w:cs="Times New Roman"/>
          <w:sz w:val="24"/>
          <w:szCs w:val="24"/>
        </w:rPr>
        <w:t>2.360.160,00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doprinosi na plaće                                                                                                  </w:t>
      </w:r>
      <w:r w:rsidR="007622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23D">
        <w:rPr>
          <w:rFonts w:ascii="Times New Roman" w:hAnsi="Times New Roman" w:cs="Times New Roman"/>
          <w:sz w:val="24"/>
          <w:szCs w:val="24"/>
        </w:rPr>
        <w:t>389.426,40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ostali rashodi za zaposlene:</w:t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 xml:space="preserve">     80.995,00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jubilarne </w:t>
      </w:r>
      <w:r w:rsidR="003F61D4">
        <w:rPr>
          <w:rFonts w:ascii="Times New Roman" w:hAnsi="Times New Roman" w:cs="Times New Roman"/>
          <w:sz w:val="24"/>
          <w:szCs w:val="24"/>
        </w:rPr>
        <w:t xml:space="preserve">nagrade </w:t>
      </w:r>
      <w:r w:rsidR="003F61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F61D4">
        <w:rPr>
          <w:rFonts w:ascii="Times New Roman" w:hAnsi="Times New Roman" w:cs="Times New Roman"/>
          <w:sz w:val="24"/>
          <w:szCs w:val="24"/>
        </w:rPr>
        <w:tab/>
      </w:r>
      <w:r w:rsidR="003F61D4">
        <w:rPr>
          <w:rFonts w:ascii="Times New Roman" w:hAnsi="Times New Roman" w:cs="Times New Roman"/>
          <w:sz w:val="24"/>
          <w:szCs w:val="24"/>
        </w:rPr>
        <w:tab/>
      </w:r>
      <w:r w:rsidR="003F61D4">
        <w:rPr>
          <w:rFonts w:ascii="Times New Roman" w:hAnsi="Times New Roman" w:cs="Times New Roman"/>
          <w:sz w:val="24"/>
          <w:szCs w:val="24"/>
        </w:rPr>
        <w:tab/>
      </w:r>
      <w:r w:rsidR="003F61D4">
        <w:rPr>
          <w:rFonts w:ascii="Times New Roman" w:hAnsi="Times New Roman" w:cs="Times New Roman"/>
          <w:sz w:val="24"/>
          <w:szCs w:val="24"/>
        </w:rPr>
        <w:tab/>
      </w:r>
      <w:r w:rsidR="003F61D4">
        <w:rPr>
          <w:rFonts w:ascii="Times New Roman" w:hAnsi="Times New Roman" w:cs="Times New Roman"/>
          <w:sz w:val="24"/>
          <w:szCs w:val="24"/>
        </w:rPr>
        <w:tab/>
      </w:r>
      <w:r w:rsidR="003F61D4">
        <w:rPr>
          <w:rFonts w:ascii="Times New Roman" w:hAnsi="Times New Roman" w:cs="Times New Roman"/>
          <w:sz w:val="24"/>
          <w:szCs w:val="24"/>
        </w:rPr>
        <w:tab/>
      </w:r>
      <w:r w:rsidR="003F61D4">
        <w:rPr>
          <w:rFonts w:ascii="Times New Roman" w:hAnsi="Times New Roman" w:cs="Times New Roman"/>
          <w:sz w:val="24"/>
          <w:szCs w:val="24"/>
        </w:rPr>
        <w:tab/>
      </w:r>
      <w:r w:rsidR="003F61D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6223D">
        <w:rPr>
          <w:rFonts w:ascii="Times New Roman" w:hAnsi="Times New Roman" w:cs="Times New Roman"/>
          <w:sz w:val="24"/>
          <w:szCs w:val="24"/>
        </w:rPr>
        <w:t xml:space="preserve">  6.860,00</w:t>
      </w:r>
    </w:p>
    <w:p w:rsidR="00710240" w:rsidRDefault="00710240" w:rsidP="00710240">
      <w:pPr>
        <w:tabs>
          <w:tab w:val="left" w:pos="708"/>
          <w:tab w:val="left" w:pos="1416"/>
          <w:tab w:val="left" w:pos="83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dar za djecu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</w:t>
      </w:r>
      <w:r w:rsidR="0076223D">
        <w:rPr>
          <w:rFonts w:ascii="Times New Roman" w:hAnsi="Times New Roman" w:cs="Times New Roman"/>
          <w:sz w:val="24"/>
          <w:szCs w:val="24"/>
        </w:rPr>
        <w:t>6.500,00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6223D">
        <w:rPr>
          <w:rFonts w:ascii="Times New Roman" w:hAnsi="Times New Roman" w:cs="Times New Roman"/>
          <w:sz w:val="24"/>
          <w:szCs w:val="24"/>
        </w:rPr>
        <w:t>24.000,00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božićnica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</w:t>
      </w:r>
      <w:r w:rsidR="0076223D">
        <w:rPr>
          <w:rFonts w:ascii="Times New Roman" w:hAnsi="Times New Roman" w:cs="Times New Roman"/>
          <w:sz w:val="24"/>
          <w:szCs w:val="24"/>
        </w:rPr>
        <w:t>24.000,00</w:t>
      </w:r>
    </w:p>
    <w:p w:rsidR="00710240" w:rsidRDefault="00710240" w:rsidP="00710240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uskrsnica </w:t>
      </w:r>
      <w:r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>8.000,00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ostale pomoći (pomoći za bolovanje, smrt, rođenje djeteta)                                      </w:t>
      </w:r>
      <w:r w:rsidR="007622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23D">
        <w:rPr>
          <w:rFonts w:ascii="Times New Roman" w:hAnsi="Times New Roman" w:cs="Times New Roman"/>
          <w:sz w:val="24"/>
          <w:szCs w:val="24"/>
        </w:rPr>
        <w:t>5.012,00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prijevoz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</w:t>
      </w:r>
      <w:r w:rsidR="0076223D">
        <w:rPr>
          <w:rFonts w:ascii="Times New Roman" w:hAnsi="Times New Roman" w:cs="Times New Roman"/>
          <w:sz w:val="24"/>
          <w:szCs w:val="24"/>
        </w:rPr>
        <w:t>49.200,00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mentorstvo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6223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622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223D">
        <w:rPr>
          <w:rFonts w:ascii="Times New Roman" w:hAnsi="Times New Roman" w:cs="Times New Roman"/>
          <w:sz w:val="24"/>
          <w:szCs w:val="24"/>
        </w:rPr>
        <w:t>688,00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financiranje materijala predškola</w:t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76223D">
        <w:rPr>
          <w:rFonts w:ascii="Times New Roman" w:hAnsi="Times New Roman" w:cs="Times New Roman"/>
          <w:sz w:val="24"/>
          <w:szCs w:val="24"/>
        </w:rPr>
        <w:t xml:space="preserve">          108,00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prijevoz učenika s poteškoćama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6223D">
        <w:rPr>
          <w:rFonts w:ascii="Times New Roman" w:hAnsi="Times New Roman" w:cs="Times New Roman"/>
          <w:sz w:val="24"/>
          <w:szCs w:val="24"/>
        </w:rPr>
        <w:t>1.500,00</w:t>
      </w:r>
    </w:p>
    <w:p w:rsidR="003F61D4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nabava</w:t>
      </w:r>
      <w:r w:rsidR="00A95198">
        <w:rPr>
          <w:rFonts w:ascii="Times New Roman" w:hAnsi="Times New Roman" w:cs="Times New Roman"/>
          <w:sz w:val="24"/>
          <w:szCs w:val="24"/>
        </w:rPr>
        <w:t xml:space="preserve"> radnih udžbenika za šk. god. 26/27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223D" w:rsidRPr="001F36B8">
        <w:rPr>
          <w:rFonts w:ascii="Times New Roman" w:hAnsi="Times New Roman" w:cs="Times New Roman"/>
          <w:sz w:val="24"/>
          <w:szCs w:val="24"/>
        </w:rPr>
        <w:t xml:space="preserve">     35.000,00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shema školskog voća i mlijeka (PDV)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76223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223D">
        <w:rPr>
          <w:rFonts w:ascii="Times New Roman" w:hAnsi="Times New Roman" w:cs="Times New Roman"/>
          <w:sz w:val="24"/>
          <w:szCs w:val="24"/>
        </w:rPr>
        <w:t>1.950,00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0240" w:rsidRDefault="00710240" w:rsidP="0071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novčana naknada poslodavca zbog nezapošljavanja osoba s invaliditetom                 </w:t>
      </w:r>
      <w:r w:rsidR="0076223D">
        <w:rPr>
          <w:rFonts w:ascii="Times New Roman" w:hAnsi="Times New Roman" w:cs="Times New Roman"/>
          <w:sz w:val="24"/>
          <w:szCs w:val="24"/>
        </w:rPr>
        <w:t>6.984,00</w:t>
      </w:r>
    </w:p>
    <w:p w:rsidR="00710240" w:rsidRDefault="00710240" w:rsidP="0071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tabs>
          <w:tab w:val="left" w:pos="82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Prehrana učenika u osnovnim školama                                                                      </w:t>
      </w:r>
      <w:r w:rsidR="0076223D">
        <w:rPr>
          <w:rFonts w:ascii="Times New Roman" w:hAnsi="Times New Roman" w:cs="Times New Roman"/>
          <w:sz w:val="24"/>
          <w:szCs w:val="24"/>
        </w:rPr>
        <w:t>179.550,00</w:t>
      </w:r>
    </w:p>
    <w:p w:rsidR="00710240" w:rsidRDefault="00710240" w:rsidP="00710240">
      <w:pPr>
        <w:tabs>
          <w:tab w:val="left" w:pos="82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636 Pomoćnici u nastavi (15%)                                                                                   </w:t>
      </w:r>
      <w:r w:rsidR="00A95198">
        <w:rPr>
          <w:rFonts w:ascii="Times New Roman" w:hAnsi="Times New Roman" w:cs="Times New Roman"/>
          <w:sz w:val="24"/>
          <w:szCs w:val="24"/>
        </w:rPr>
        <w:t>46.719,89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636 Županijsko natjecanje Sigurno u prometu, natjecanje iz informatike i voditelj županijskog stručnog vijeća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95198">
        <w:rPr>
          <w:rFonts w:ascii="Times New Roman" w:hAnsi="Times New Roman" w:cs="Times New Roman"/>
          <w:sz w:val="24"/>
          <w:szCs w:val="24"/>
        </w:rPr>
        <w:t>2.090,00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636 Kapitalne pomoći proračunskim korisnicima iz proračuna koji im nije nadležan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0240" w:rsidRPr="00A95198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nabava š</w:t>
      </w:r>
      <w:r w:rsidR="00A95198">
        <w:rPr>
          <w:rFonts w:ascii="Times New Roman" w:hAnsi="Times New Roman" w:cs="Times New Roman"/>
          <w:sz w:val="24"/>
          <w:szCs w:val="24"/>
        </w:rPr>
        <w:t>kolskih udžbenika za šk. god. 26/27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4C17B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95198" w:rsidRPr="004C17BB">
        <w:rPr>
          <w:rFonts w:ascii="Times New Roman" w:hAnsi="Times New Roman" w:cs="Times New Roman"/>
          <w:sz w:val="24"/>
          <w:szCs w:val="24"/>
        </w:rPr>
        <w:t>5.400,00</w:t>
      </w:r>
      <w:r w:rsidRPr="004C1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40" w:rsidRDefault="00710240" w:rsidP="0071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nabava obavezne lektire za školsku knjižnicu                     </w:t>
      </w:r>
      <w:r w:rsidR="003F61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95198">
        <w:rPr>
          <w:rFonts w:ascii="Times New Roman" w:hAnsi="Times New Roman" w:cs="Times New Roman"/>
          <w:sz w:val="24"/>
          <w:szCs w:val="24"/>
        </w:rPr>
        <w:t>1.600,00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tabs>
          <w:tab w:val="left" w:pos="8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639 Prijenosi između proračunskih korisnika istog proračuna                                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639-Tekući prijenosi između proračunskih korisnika istog proračuna temeljem prijenosa EU sredstava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Shema školskog voća i povrća  i mlijeka                                                                </w:t>
      </w:r>
      <w:r w:rsidR="00A95198">
        <w:rPr>
          <w:rFonts w:ascii="Times New Roman" w:hAnsi="Times New Roman" w:cs="Times New Roman"/>
          <w:sz w:val="24"/>
          <w:szCs w:val="24"/>
        </w:rPr>
        <w:t>11.050,00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10240" w:rsidRDefault="00710240" w:rsidP="0071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Pomoćnici u nastavi EU (plaća, božićnica, regres, dar za dijete i prijevoz)   </w:t>
      </w:r>
      <w:r w:rsidR="004C17BB">
        <w:rPr>
          <w:rFonts w:ascii="Times New Roman" w:hAnsi="Times New Roman" w:cs="Times New Roman"/>
          <w:sz w:val="24"/>
          <w:szCs w:val="24"/>
        </w:rPr>
        <w:t xml:space="preserve"> </w:t>
      </w:r>
      <w:r w:rsidR="00A95198">
        <w:rPr>
          <w:rFonts w:ascii="Times New Roman" w:hAnsi="Times New Roman" w:cs="Times New Roman"/>
          <w:sz w:val="24"/>
          <w:szCs w:val="24"/>
        </w:rPr>
        <w:t>264.746,07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Prihodi po posebnim propisima </w:t>
      </w:r>
    </w:p>
    <w:p w:rsidR="00710240" w:rsidRDefault="00710240" w:rsidP="00710240">
      <w:pPr>
        <w:tabs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 Prihodi od prodaje proizvoda i robe te pruženih usluga, prihodi od donacija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0240" w:rsidRDefault="00710240" w:rsidP="00A95198">
      <w:pPr>
        <w:tabs>
          <w:tab w:val="left" w:pos="80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663 Donacije od pravnih i fizičkih osoba izvan općeg proračuna</w:t>
      </w:r>
      <w:r w:rsidR="00A95198">
        <w:rPr>
          <w:rFonts w:ascii="Times New Roman" w:hAnsi="Times New Roman" w:cs="Times New Roman"/>
          <w:sz w:val="24"/>
          <w:szCs w:val="24"/>
        </w:rPr>
        <w:tab/>
        <w:t xml:space="preserve">  6.600,00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663- tekuće donacije Dr</w:t>
      </w:r>
      <w:r w:rsidR="003F61D4">
        <w:rPr>
          <w:rFonts w:ascii="Times New Roman" w:hAnsi="Times New Roman" w:cs="Times New Roman"/>
          <w:sz w:val="24"/>
          <w:szCs w:val="24"/>
        </w:rPr>
        <w:t>uštvo pedagoga tehničke kulture</w:t>
      </w:r>
      <w:r w:rsidR="00A95198">
        <w:rPr>
          <w:rFonts w:ascii="Times New Roman" w:hAnsi="Times New Roman" w:cs="Times New Roman"/>
          <w:sz w:val="24"/>
          <w:szCs w:val="24"/>
        </w:rPr>
        <w:tab/>
      </w:r>
      <w:r w:rsidR="00A95198">
        <w:rPr>
          <w:rFonts w:ascii="Times New Roman" w:hAnsi="Times New Roman" w:cs="Times New Roman"/>
          <w:sz w:val="24"/>
          <w:szCs w:val="24"/>
        </w:rPr>
        <w:tab/>
      </w:r>
      <w:r w:rsidR="00A9519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198">
        <w:rPr>
          <w:rFonts w:ascii="Times New Roman" w:hAnsi="Times New Roman" w:cs="Times New Roman"/>
          <w:sz w:val="24"/>
          <w:szCs w:val="24"/>
        </w:rPr>
        <w:t xml:space="preserve">         100,00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661 Prihodi od prodaje proizvoda i robe te pruženih usluga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10240" w:rsidRDefault="00710240" w:rsidP="00710240">
      <w:pPr>
        <w:tabs>
          <w:tab w:val="left" w:pos="8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661 - Prihodi od pruženih usluga (najam školske sportske dvorani i zakup                 </w:t>
      </w:r>
    </w:p>
    <w:p w:rsidR="00710240" w:rsidRDefault="00710240" w:rsidP="0071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školskog prostora za kuhinju)                                                                                    </w:t>
      </w:r>
      <w:r w:rsidR="00A95198">
        <w:rPr>
          <w:rFonts w:ascii="Times New Roman" w:hAnsi="Times New Roman" w:cs="Times New Roman"/>
          <w:sz w:val="24"/>
          <w:szCs w:val="24"/>
        </w:rPr>
        <w:t>20.000,00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 Prihodi iz nadležnog proračuna za financiranje redovne djelatnosti proračunskih korisnika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4C17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671 - Prihodi iz nadležnog proračuna za fi</w:t>
      </w:r>
      <w:r w:rsidR="004C17BB">
        <w:rPr>
          <w:rFonts w:ascii="Times New Roman" w:hAnsi="Times New Roman" w:cs="Times New Roman"/>
          <w:sz w:val="24"/>
          <w:szCs w:val="24"/>
        </w:rPr>
        <w:t xml:space="preserve">nanciranje rashoda poslovanja i za nabavu                 nefinancijske imovine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17BB">
        <w:rPr>
          <w:rFonts w:ascii="Times New Roman" w:hAnsi="Times New Roman" w:cs="Times New Roman"/>
          <w:sz w:val="24"/>
          <w:szCs w:val="24"/>
        </w:rPr>
        <w:t>566.586,58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   plaće, ostali rashodi i prijevoz za učiteljice u produženom boravku, učiteljicu za predškolu na Silbi i Velom Ižu te pomoćnike u nastavi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materijalni i financijski rashodi, energija, materijali i dijelovi, usluge tekućeg i investicijskog održavanje, računalne usluge, zdravstvene usluge, usluge zaštite, usluge najamnine, izvannastavne aktivnosti i shema školskog vo</w:t>
      </w:r>
      <w:r w:rsidR="004C17BB">
        <w:rPr>
          <w:rFonts w:ascii="Times New Roman" w:hAnsi="Times New Roman" w:cs="Times New Roman"/>
          <w:sz w:val="24"/>
          <w:szCs w:val="24"/>
        </w:rPr>
        <w:t xml:space="preserve">ća i mlijeka)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10240" w:rsidRDefault="00710240" w:rsidP="008407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Nabava </w:t>
      </w:r>
      <w:r w:rsidR="003F61D4">
        <w:rPr>
          <w:rFonts w:ascii="Times New Roman" w:hAnsi="Times New Roman" w:cs="Times New Roman"/>
          <w:sz w:val="24"/>
          <w:szCs w:val="24"/>
        </w:rPr>
        <w:t>rad</w:t>
      </w:r>
      <w:r w:rsidR="00840733">
        <w:rPr>
          <w:rFonts w:ascii="Times New Roman" w:hAnsi="Times New Roman" w:cs="Times New Roman"/>
          <w:sz w:val="24"/>
          <w:szCs w:val="24"/>
        </w:rPr>
        <w:t>nih bilježnica za šk. god. 26/27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95198">
        <w:rPr>
          <w:rFonts w:ascii="Times New Roman" w:hAnsi="Times New Roman" w:cs="Times New Roman"/>
          <w:sz w:val="24"/>
          <w:szCs w:val="24"/>
        </w:rPr>
        <w:t xml:space="preserve">  </w:t>
      </w:r>
      <w:r w:rsidR="00840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9519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7B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17BB">
        <w:rPr>
          <w:rFonts w:ascii="Times New Roman" w:hAnsi="Times New Roman" w:cs="Times New Roman"/>
          <w:sz w:val="24"/>
          <w:szCs w:val="24"/>
        </w:rPr>
        <w:t xml:space="preserve">- </w:t>
      </w:r>
      <w:r w:rsidR="00840733">
        <w:rPr>
          <w:rFonts w:ascii="Times New Roman" w:hAnsi="Times New Roman" w:cs="Times New Roman"/>
          <w:sz w:val="24"/>
          <w:szCs w:val="24"/>
        </w:rPr>
        <w:t xml:space="preserve">         Dugotrajna nefinancijka imovina</w:t>
      </w:r>
      <w:r w:rsidR="003F61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7BB" w:rsidRDefault="004C17BB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RASHODI POSLOVANJA </w:t>
      </w:r>
    </w:p>
    <w:p w:rsidR="00710240" w:rsidRDefault="00710240" w:rsidP="00710240">
      <w:pPr>
        <w:tabs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>Rashodi za zapos</w:t>
      </w:r>
      <w:r w:rsidR="003F61D4">
        <w:rPr>
          <w:rFonts w:ascii="Times New Roman" w:hAnsi="Times New Roman" w:cs="Times New Roman"/>
          <w:sz w:val="24"/>
          <w:szCs w:val="24"/>
        </w:rPr>
        <w:t xml:space="preserve">lene             </w:t>
      </w:r>
      <w:r w:rsidR="00840733">
        <w:rPr>
          <w:rFonts w:ascii="Times New Roman" w:hAnsi="Times New Roman" w:cs="Times New Roman"/>
          <w:sz w:val="24"/>
          <w:szCs w:val="24"/>
        </w:rPr>
        <w:t xml:space="preserve"> </w:t>
      </w:r>
      <w:r w:rsidR="003F61D4">
        <w:rPr>
          <w:rFonts w:ascii="Times New Roman" w:hAnsi="Times New Roman" w:cs="Times New Roman"/>
          <w:sz w:val="24"/>
          <w:szCs w:val="24"/>
        </w:rPr>
        <w:t xml:space="preserve">   </w:t>
      </w:r>
      <w:r w:rsidR="00840733">
        <w:rPr>
          <w:rFonts w:ascii="Times New Roman" w:hAnsi="Times New Roman" w:cs="Times New Roman"/>
          <w:sz w:val="24"/>
          <w:szCs w:val="24"/>
        </w:rPr>
        <w:t>3.324.773,82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F61D4" w:rsidRDefault="00710240" w:rsidP="00710240">
      <w:pPr>
        <w:tabs>
          <w:tab w:val="left" w:pos="83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 </w:t>
      </w:r>
      <w:r>
        <w:rPr>
          <w:rFonts w:ascii="Times New Roman" w:hAnsi="Times New Roman" w:cs="Times New Roman"/>
          <w:sz w:val="24"/>
          <w:szCs w:val="24"/>
        </w:rPr>
        <w:t xml:space="preserve">Materijalni rashodi                   </w:t>
      </w:r>
      <w:r w:rsidR="00840733">
        <w:rPr>
          <w:rFonts w:ascii="Times New Roman" w:hAnsi="Times New Roman" w:cs="Times New Roman"/>
          <w:sz w:val="24"/>
          <w:szCs w:val="24"/>
        </w:rPr>
        <w:t xml:space="preserve">  472.530,43</w:t>
      </w:r>
    </w:p>
    <w:p w:rsidR="00710240" w:rsidRDefault="00710240" w:rsidP="00710240">
      <w:pPr>
        <w:tabs>
          <w:tab w:val="left" w:pos="83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34 </w:t>
      </w:r>
      <w:r>
        <w:rPr>
          <w:rFonts w:ascii="Times New Roman" w:hAnsi="Times New Roman" w:cs="Times New Roman"/>
          <w:sz w:val="24"/>
          <w:szCs w:val="24"/>
        </w:rPr>
        <w:t xml:space="preserve">Financijski rashodi                    </w:t>
      </w:r>
      <w:r w:rsidR="00840733">
        <w:rPr>
          <w:rFonts w:ascii="Times New Roman" w:hAnsi="Times New Roman" w:cs="Times New Roman"/>
          <w:sz w:val="24"/>
          <w:szCs w:val="24"/>
        </w:rPr>
        <w:t>0,00</w:t>
      </w:r>
    </w:p>
    <w:p w:rsidR="00840733" w:rsidRDefault="00710240" w:rsidP="00710240">
      <w:pPr>
        <w:tabs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Naknade građanima i kućanstvima    </w:t>
      </w:r>
      <w:r w:rsidR="00840733">
        <w:rPr>
          <w:rFonts w:ascii="Times New Roman" w:hAnsi="Times New Roman" w:cs="Times New Roman"/>
          <w:sz w:val="24"/>
          <w:szCs w:val="24"/>
        </w:rPr>
        <w:t>92.500,00</w:t>
      </w:r>
    </w:p>
    <w:p w:rsidR="00710240" w:rsidRDefault="00840733" w:rsidP="00710240">
      <w:pPr>
        <w:tabs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0733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Donacije i ostali rashodi  1.800,00</w:t>
      </w:r>
      <w:r w:rsidR="00710240">
        <w:rPr>
          <w:rFonts w:ascii="Times New Roman" w:hAnsi="Times New Roman" w:cs="Times New Roman"/>
          <w:sz w:val="24"/>
          <w:szCs w:val="24"/>
        </w:rPr>
        <w:tab/>
      </w:r>
    </w:p>
    <w:p w:rsidR="00710240" w:rsidRDefault="00710240" w:rsidP="007102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</w:p>
    <w:p w:rsidR="00710240" w:rsidRDefault="00710240" w:rsidP="00710240">
      <w:pPr>
        <w:tabs>
          <w:tab w:val="left" w:pos="708"/>
          <w:tab w:val="left" w:pos="1416"/>
          <w:tab w:val="left" w:pos="2124"/>
          <w:tab w:val="left" w:pos="2832"/>
          <w:tab w:val="left" w:pos="81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42 </w:t>
      </w:r>
      <w:r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0733" w:rsidRPr="00840733">
        <w:rPr>
          <w:rFonts w:ascii="Times New Roman" w:hAnsi="Times New Roman" w:cs="Times New Roman"/>
          <w:sz w:val="24"/>
          <w:szCs w:val="24"/>
        </w:rPr>
        <w:t>104.193,20</w:t>
      </w:r>
    </w:p>
    <w:p w:rsidR="00840733" w:rsidRPr="00840733" w:rsidRDefault="00840733" w:rsidP="00710240">
      <w:pPr>
        <w:tabs>
          <w:tab w:val="left" w:pos="708"/>
          <w:tab w:val="left" w:pos="1416"/>
          <w:tab w:val="left" w:pos="2124"/>
          <w:tab w:val="left" w:pos="2832"/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 w:rsidRPr="00840733">
        <w:rPr>
          <w:rFonts w:ascii="Times New Roman" w:hAnsi="Times New Roman" w:cs="Times New Roman"/>
          <w:sz w:val="24"/>
          <w:szCs w:val="24"/>
        </w:rPr>
        <w:t xml:space="preserve">45 Dodatna ulaganja na građ.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40733">
        <w:rPr>
          <w:rFonts w:ascii="Times New Roman" w:hAnsi="Times New Roman" w:cs="Times New Roman"/>
          <w:sz w:val="24"/>
          <w:szCs w:val="24"/>
        </w:rPr>
        <w:t xml:space="preserve">bjektima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40733">
        <w:rPr>
          <w:rFonts w:ascii="Times New Roman" w:hAnsi="Times New Roman" w:cs="Times New Roman"/>
          <w:sz w:val="24"/>
          <w:szCs w:val="24"/>
        </w:rPr>
        <w:t>40.000,00</w:t>
      </w:r>
    </w:p>
    <w:p w:rsidR="00710240" w:rsidRDefault="00710240" w:rsidP="00710240">
      <w:pPr>
        <w:tabs>
          <w:tab w:val="left" w:pos="708"/>
          <w:tab w:val="left" w:pos="1416"/>
          <w:tab w:val="left" w:pos="2124"/>
          <w:tab w:val="left" w:pos="2832"/>
          <w:tab w:val="left" w:pos="8115"/>
        </w:tabs>
        <w:rPr>
          <w:rFonts w:ascii="Times New Roman" w:hAnsi="Times New Roman" w:cs="Times New Roman"/>
          <w:b/>
          <w:sz w:val="24"/>
          <w:szCs w:val="24"/>
        </w:rPr>
      </w:pPr>
    </w:p>
    <w:p w:rsidR="00710240" w:rsidRDefault="00710240" w:rsidP="00710240">
      <w:pPr>
        <w:pStyle w:val="Tijelotekst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OBRAZLOŽENJE PROGRAMA (AKTIVNOSTI I PROJEKATA)</w:t>
      </w:r>
    </w:p>
    <w:p w:rsidR="00710240" w:rsidRDefault="00710240" w:rsidP="0071024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Financijskim planom planirana su sredstva za provođenje programa Osnovnoškolsko obrazovanje i Izvanstandardni programi u školama.</w:t>
      </w:r>
    </w:p>
    <w:p w:rsidR="00710240" w:rsidRPr="007946CE" w:rsidRDefault="00710240" w:rsidP="0071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Program 1012- Osnovnoškolsko obrazovanje provodi se kroz sljedeće aktivnosti:</w:t>
      </w:r>
    </w:p>
    <w:p w:rsidR="00710240" w:rsidRPr="007946CE" w:rsidRDefault="00710240" w:rsidP="0071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 xml:space="preserve">- aktivnost 1012-01 Materijalni rashodi škola –STANDARD </w:t>
      </w:r>
    </w:p>
    <w:p w:rsidR="00710240" w:rsidRPr="007946CE" w:rsidRDefault="00710240" w:rsidP="0071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 xml:space="preserve">- aktivnost 1012-02 Financijski rashodi škola - STANDARD </w:t>
      </w:r>
    </w:p>
    <w:p w:rsidR="00710240" w:rsidRPr="007946CE" w:rsidRDefault="00710240" w:rsidP="0071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 xml:space="preserve">- kapitalni projekt 1012-03 Opremanje škola - STANDARD </w:t>
      </w:r>
    </w:p>
    <w:p w:rsidR="00710240" w:rsidRPr="007946CE" w:rsidRDefault="00710240" w:rsidP="00710240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- kapitalni projekt 1012-04 Dodatna ulaganja – STANDARD</w:t>
      </w:r>
    </w:p>
    <w:p w:rsidR="00710240" w:rsidRPr="007946CE" w:rsidRDefault="00710240" w:rsidP="00710240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- aktivnost 1012-05 Materijalni rashodi škola – IZVANSTANDARD</w:t>
      </w:r>
    </w:p>
    <w:p w:rsidR="00710240" w:rsidRPr="007946CE" w:rsidRDefault="00710240" w:rsidP="00710240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- kapitalni projekt 1012-07 Opremanje škola – IZVANSTANDARD</w:t>
      </w:r>
    </w:p>
    <w:p w:rsidR="00710240" w:rsidRPr="007946CE" w:rsidRDefault="00710240" w:rsidP="00710240">
      <w:pPr>
        <w:tabs>
          <w:tab w:val="left" w:pos="1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- kapitalni projekt 1012-08 Dodatna ulaganja – IZVANSTANDARD</w:t>
      </w:r>
    </w:p>
    <w:p w:rsidR="00710240" w:rsidRPr="007946CE" w:rsidRDefault="00710240" w:rsidP="0071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 xml:space="preserve">- aktivnost 1012-09 Vlastiti i namjenski prihodi škola – rashodi za zaposlene </w:t>
      </w:r>
    </w:p>
    <w:p w:rsidR="00710240" w:rsidRPr="007946CE" w:rsidRDefault="00710240" w:rsidP="0071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- aktivnost 1012-10 Vlastiti i namjenski prihodi škola – materijalni rashodi</w:t>
      </w:r>
    </w:p>
    <w:p w:rsidR="00710240" w:rsidRPr="007946CE" w:rsidRDefault="00710240" w:rsidP="00710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- aktivnost 1012-12 Vlastiti i namjenski prihodi škola-opremanje škola</w:t>
      </w:r>
    </w:p>
    <w:p w:rsidR="00710240" w:rsidRDefault="003F61D4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su sredstva za 2026</w:t>
      </w:r>
      <w:r w:rsidR="00710240">
        <w:rPr>
          <w:rFonts w:ascii="Times New Roman" w:hAnsi="Times New Roman" w:cs="Times New Roman"/>
          <w:sz w:val="24"/>
          <w:szCs w:val="24"/>
        </w:rPr>
        <w:t xml:space="preserve">. godinu  za materijalne i financijske rashode škole  te rashode za nabavu proizvedene dugotrajne imovine financirane iz Proračuna Grada Zadra (A 1012-01, A </w:t>
      </w:r>
      <w:r w:rsidR="00710240">
        <w:rPr>
          <w:rFonts w:ascii="Times New Roman" w:hAnsi="Times New Roman" w:cs="Times New Roman"/>
          <w:sz w:val="24"/>
          <w:szCs w:val="24"/>
        </w:rPr>
        <w:lastRenderedPageBreak/>
        <w:t>1012-02, A1012-03, A1012-04, A1012-05, K1012-07 i K 1012-08 ).  Aktivnost 1012-01 i 1012-02 odnosi se na sljedeće materijalne i financijske rashode: službena putovanja, stručno usavršavanje zaposlenika, energenti za zagrijavanje, rasvjetu i pogon škole-električna energija i lož ulje, najamnine prostora, uredski materijal i ostale materijalne rashode, sitni inventar, usluge telefona i pošte, usluge promidžbe i informiranja, komunalne usluge, intelektualne i osobne usluge, računalne usluge, zdravstveni pregledi djelatnika, premije osiguranja, reprezentaciju, članarine, usluge čuvanja imovine, bankarske i usluge platnog prometa, zatezne kamate, ostale nespomenute usluge i rashode potrebne za rad škole. Planirani su i rashodi za materijal, dijelove i usluge tekućeg i investicijskog održavanja škole. U kapitalnom projektu A1012-03 planirana je nabava uredske opreme i namještaja, računalne opreme, glazbene i sportske opreme te nabava knjiga u knjižnici. Nap</w:t>
      </w:r>
      <w:r>
        <w:rPr>
          <w:rFonts w:ascii="Times New Roman" w:hAnsi="Times New Roman" w:cs="Times New Roman"/>
          <w:sz w:val="24"/>
          <w:szCs w:val="24"/>
        </w:rPr>
        <w:t>ravljena je i projekcija za 2027. i 2028</w:t>
      </w:r>
      <w:r w:rsidR="00710240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Ishodišta i pokazatelji na kojima se zasnivaju izračuni i ocjene potrebnih sredstava za provođenje programa temeljeni su na procjenama utrošenih sredstava prethodnih godina, procjeni stvarnog stanja u školi, broju učenika, odjela i broju građevina.</w:t>
      </w: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6"/>
        <w:tblW w:w="11200" w:type="dxa"/>
        <w:tblLook w:val="04A0" w:firstRow="1" w:lastRow="0" w:firstColumn="1" w:lastColumn="0" w:noHBand="0" w:noVBand="1"/>
      </w:tblPr>
      <w:tblGrid>
        <w:gridCol w:w="1859"/>
        <w:gridCol w:w="1608"/>
        <w:gridCol w:w="1188"/>
        <w:gridCol w:w="1437"/>
        <w:gridCol w:w="1656"/>
        <w:gridCol w:w="1736"/>
        <w:gridCol w:w="1716"/>
      </w:tblGrid>
      <w:tr w:rsidR="00710240" w:rsidTr="00710240">
        <w:trPr>
          <w:trHeight w:val="57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uspješnosti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2027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2028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10240" w:rsidTr="00710240">
        <w:trPr>
          <w:trHeight w:val="503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Učenici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734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 w:rsidP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92B23"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 w:rsidP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F92B23"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750</w:t>
            </w:r>
            <w:r w:rsidR="00710240"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710240" w:rsidTr="00710240">
        <w:trPr>
          <w:trHeight w:val="503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odjela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Odjeli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 w:rsidP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92B23"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F92B23"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</w:tr>
      <w:tr w:rsidR="00710240" w:rsidTr="00710240">
        <w:trPr>
          <w:trHeight w:val="503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šk. građevina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Građevine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4 </w:t>
            </w:r>
          </w:p>
        </w:tc>
      </w:tr>
    </w:tbl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1. </w:t>
      </w: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1012-09 Rashodi </w:t>
      </w:r>
      <w:r w:rsidR="003F61D4">
        <w:rPr>
          <w:rFonts w:ascii="Times New Roman" w:hAnsi="Times New Roman" w:cs="Times New Roman"/>
          <w:sz w:val="24"/>
          <w:szCs w:val="24"/>
        </w:rPr>
        <w:t>za zaposlene planirani su u 2026</w:t>
      </w:r>
      <w:r>
        <w:rPr>
          <w:rFonts w:ascii="Times New Roman" w:hAnsi="Times New Roman" w:cs="Times New Roman"/>
          <w:sz w:val="24"/>
          <w:szCs w:val="24"/>
        </w:rPr>
        <w:t>. godine iz izvora</w:t>
      </w:r>
      <w:r w:rsidR="00F92B23">
        <w:t xml:space="preserve"> 5011 </w:t>
      </w:r>
      <w:r>
        <w:rPr>
          <w:rFonts w:ascii="Times New Roman" w:hAnsi="Times New Roman" w:cs="Times New Roman"/>
          <w:sz w:val="24"/>
          <w:szCs w:val="24"/>
        </w:rPr>
        <w:t xml:space="preserve">, te u projekcijama za </w:t>
      </w:r>
      <w:r w:rsidR="003F61D4">
        <w:rPr>
          <w:rFonts w:ascii="Times New Roman" w:hAnsi="Times New Roman" w:cs="Times New Roman"/>
          <w:sz w:val="24"/>
          <w:szCs w:val="24"/>
        </w:rPr>
        <w:t>2027. i 2028</w:t>
      </w:r>
      <w:r>
        <w:rPr>
          <w:rFonts w:ascii="Times New Roman" w:hAnsi="Times New Roman" w:cs="Times New Roman"/>
          <w:sz w:val="24"/>
          <w:szCs w:val="24"/>
        </w:rPr>
        <w:t>. godinu gdje se očekuje povećanje osnovice plaće i materijalnih prava zaposlenika. Rashodi za zaposlene uključuju i doprinose na plaće (doprinos za obavezno zdravstveno osiguranje), materijalna prava</w:t>
      </w:r>
      <w:r>
        <w:rPr>
          <w:rFonts w:ascii="Times New Roman" w:hAnsi="Times New Roman" w:cs="Times New Roman"/>
        </w:rPr>
        <w:t xml:space="preserve"> ( jubilarne nagrade, mentorstvo, otpremnine, dar za djecu, regres, božićnicu, pomoći za bolovanja i smrt i ostale pomoći) te prijevoz djelatnika. Navedeni rashodi financiraju se od nadležnog Ministarstva. Planiraju se i rashodi za dva voditelja županijskih stručnih vijeća.</w:t>
      </w:r>
    </w:p>
    <w:p w:rsidR="00710240" w:rsidRDefault="00710240" w:rsidP="00710240">
      <w:pPr>
        <w:tabs>
          <w:tab w:val="left" w:pos="8370"/>
        </w:tabs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710240" w:rsidRDefault="00710240" w:rsidP="00710240">
      <w:pPr>
        <w:tabs>
          <w:tab w:val="left" w:pos="837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1012-10 Materijalni rashodi- vlas</w:t>
      </w:r>
      <w:r w:rsidR="003F61D4">
        <w:rPr>
          <w:rFonts w:ascii="Times New Roman" w:hAnsi="Times New Roman" w:cs="Times New Roman"/>
          <w:sz w:val="24"/>
          <w:szCs w:val="24"/>
        </w:rPr>
        <w:t>titi i namjenski prihodi za 2026</w:t>
      </w:r>
      <w:r>
        <w:rPr>
          <w:rFonts w:ascii="Times New Roman" w:hAnsi="Times New Roman" w:cs="Times New Roman"/>
          <w:sz w:val="24"/>
          <w:szCs w:val="24"/>
        </w:rPr>
        <w:t xml:space="preserve">. godinu planiraju se iz više izvora. Iz vlastitih prihoda koji proizlaze iz najma školske sportske dvorane, najma školskog prostora za kuhinju, privremenog najma školske sportske dvorane, male dvorane i privremeni najam učionica te prodaje proizvoda Učeničke zadruge Škabelin financirati će se materijalni rashodi. Prihodi za posebne namjene su uplate od učenika za oštećene udžbenike i subvencioniranje cijene usluge kao npr. prijevoz autobusom ili nastale štete na školskoj imovini, financirati će se nastali rashodi. Pomoći se odnose se na naknadu za nezapošljavanje invalida, Županijsko natjecanje Sigurno u prometu i natjecanje iz informatike iz kojih se financira rad povjerenstva i usluga cateringa, voditelja županijskog stručnog vijeća te naknade građanima i kućanstvima u novcu i naravi za radne udžbenike i druge obrazovne materijala te prijevoz učenika s poteškoćama TUR. Planiraju se donacije Društva pedagoga tehničke kulture. Od viška vlastitih prihoda iz 2024. godine financirati će se ostali materijalni rashodi.  </w:t>
      </w: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školi se planira prehrana učenika sufinancirana od strane Ministarstva prema Odluci o kriterijima i načinu financiranja, odnosno sufinanciranja troškova prehrane za učenike osnov</w:t>
      </w:r>
      <w:r w:rsidR="003F61D4">
        <w:rPr>
          <w:rFonts w:ascii="Times New Roman" w:hAnsi="Times New Roman" w:cs="Times New Roman"/>
          <w:sz w:val="24"/>
          <w:szCs w:val="24"/>
        </w:rPr>
        <w:t>nih škola za školsku godinu 2025./2026</w:t>
      </w:r>
      <w:r>
        <w:rPr>
          <w:rFonts w:ascii="Times New Roman" w:hAnsi="Times New Roman" w:cs="Times New Roman"/>
          <w:sz w:val="24"/>
          <w:szCs w:val="24"/>
        </w:rPr>
        <w:t>. u iznosu 1,33 eura po djetetu.  Obrok je osiguran u vrijeme nastavnih dana (175 dana baza)  u ukupnom iznosu eura</w:t>
      </w: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00" w:type="dxa"/>
        <w:tblInd w:w="-1067" w:type="dxa"/>
        <w:tblLook w:val="04A0" w:firstRow="1" w:lastRow="0" w:firstColumn="1" w:lastColumn="0" w:noHBand="0" w:noVBand="1"/>
      </w:tblPr>
      <w:tblGrid>
        <w:gridCol w:w="1860"/>
        <w:gridCol w:w="1600"/>
        <w:gridCol w:w="1180"/>
        <w:gridCol w:w="1440"/>
        <w:gridCol w:w="1660"/>
        <w:gridCol w:w="1740"/>
        <w:gridCol w:w="1720"/>
      </w:tblGrid>
      <w:tr w:rsidR="00710240" w:rsidTr="00710240">
        <w:trPr>
          <w:trHeight w:val="5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uspješnosti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2027.</w:t>
            </w:r>
          </w:p>
        </w:tc>
      </w:tr>
      <w:tr w:rsidR="00710240" w:rsidTr="00710240">
        <w:trPr>
          <w:trHeight w:val="12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Pr="007946CE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 učenika obuhvaćenih Odlukom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Pr="007946CE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10240" w:rsidP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7946CE"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10240" w:rsidP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7946CE"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750</w:t>
            </w:r>
          </w:p>
        </w:tc>
      </w:tr>
    </w:tbl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2. Prehrana učenika</w:t>
      </w: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A1012-12 Opremanje škola- vlas</w:t>
      </w:r>
      <w:r w:rsidR="003F61D4">
        <w:rPr>
          <w:rFonts w:ascii="Times New Roman" w:hAnsi="Times New Roman" w:cs="Times New Roman"/>
          <w:sz w:val="24"/>
          <w:szCs w:val="24"/>
        </w:rPr>
        <w:t>titi i namjenski prihodi za 2026</w:t>
      </w:r>
      <w:r>
        <w:rPr>
          <w:rFonts w:ascii="Times New Roman" w:hAnsi="Times New Roman" w:cs="Times New Roman"/>
          <w:sz w:val="24"/>
          <w:szCs w:val="24"/>
        </w:rPr>
        <w:t>. godinu planiraju se iz vlastitih prihoda za opremanje škole računalnom, glazbenom i športskom opremom te knjižničnom građo</w:t>
      </w:r>
      <w:r w:rsidR="003F61D4">
        <w:rPr>
          <w:rFonts w:ascii="Times New Roman" w:hAnsi="Times New Roman" w:cs="Times New Roman"/>
          <w:sz w:val="24"/>
          <w:szCs w:val="24"/>
        </w:rPr>
        <w:t>m kao i od viška prihoda iz 2025</w:t>
      </w:r>
      <w:r>
        <w:rPr>
          <w:rFonts w:ascii="Times New Roman" w:hAnsi="Times New Roman" w:cs="Times New Roman"/>
          <w:sz w:val="24"/>
          <w:szCs w:val="24"/>
        </w:rPr>
        <w:t>. godine. Od nadležnog Ministarstva planirano je financiranje udžbenika za višegodišnje korištenje u novoj školskoj godini i nabava knjiga za knjižnicu.</w:t>
      </w:r>
    </w:p>
    <w:tbl>
      <w:tblPr>
        <w:tblpPr w:leftFromText="180" w:rightFromText="180" w:bottomFromText="160" w:vertAnchor="text" w:horzAnchor="margin" w:tblpXSpec="center" w:tblpY="-576"/>
        <w:tblW w:w="11200" w:type="dxa"/>
        <w:tblLook w:val="04A0" w:firstRow="1" w:lastRow="0" w:firstColumn="1" w:lastColumn="0" w:noHBand="0" w:noVBand="1"/>
      </w:tblPr>
      <w:tblGrid>
        <w:gridCol w:w="1351"/>
        <w:gridCol w:w="1701"/>
        <w:gridCol w:w="1134"/>
        <w:gridCol w:w="1276"/>
        <w:gridCol w:w="1842"/>
        <w:gridCol w:w="1843"/>
        <w:gridCol w:w="2053"/>
      </w:tblGrid>
      <w:tr w:rsidR="00710240" w:rsidTr="00710240">
        <w:trPr>
          <w:trHeight w:val="57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Pokazatelj uspješnosti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2027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2028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10240" w:rsidTr="00710240">
        <w:trPr>
          <w:trHeight w:val="12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korisnika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Sportski klubovi /korisnici športske dvorane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710240" w:rsidTr="00710240">
        <w:trPr>
          <w:trHeight w:val="120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korisnika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Sportski klubovi /korisnici male dvorane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710240" w:rsidTr="00710240">
        <w:trPr>
          <w:trHeight w:val="120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korisnika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Zakup prostora kuhinja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F92B23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F92B23" w:rsidTr="00710240">
        <w:trPr>
          <w:trHeight w:val="120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korisnika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Zakup prostora za tople napitke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B23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B23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B23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B23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2B23" w:rsidRPr="00F92B23" w:rsidRDefault="00F92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2B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</w:tbl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3. Najam dvorane i zakup školskog prostora</w:t>
      </w:r>
    </w:p>
    <w:p w:rsidR="00710240" w:rsidRDefault="00710240" w:rsidP="00710240">
      <w:pPr>
        <w:tabs>
          <w:tab w:val="left" w:pos="83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Planirane aktivnost iz vlastitih prihoda temelji se na ponudi najma dvorane (Ugovor) u slobodnim terminima za Sportske klubove i rekreativce.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školskom Pravilniku o ostvarivanju i načinu korištenja vlastitih prihoda, ostvarene prihode Škola je dužna namjenski koristiti za podmirenje tekućih izdataka. Namjene korištenja ostvarenih prihoda su prioritetno za tekuće i investicijsko održavanje objekata te nabavu opreme do 80% iznosa ostvarenih prihoda, a za ostale potrebe do 20% iznosa ostvarenih prihoda.</w:t>
      </w:r>
    </w:p>
    <w:p w:rsidR="00710240" w:rsidRDefault="00710240" w:rsidP="00710240">
      <w:pPr>
        <w:tabs>
          <w:tab w:val="left" w:pos="837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710240" w:rsidRDefault="00710240" w:rsidP="00710240">
      <w:pPr>
        <w:tabs>
          <w:tab w:val="left" w:pos="837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710240" w:rsidRDefault="00710240" w:rsidP="00710240">
      <w:pPr>
        <w:tabs>
          <w:tab w:val="left" w:pos="837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710240" w:rsidRDefault="00710240" w:rsidP="00710240">
      <w:pPr>
        <w:tabs>
          <w:tab w:val="left" w:pos="8370"/>
        </w:tabs>
        <w:spacing w:after="0"/>
        <w:ind w:firstLine="708"/>
        <w:jc w:val="both"/>
        <w:rPr>
          <w:rFonts w:ascii="Times New Roman" w:hAnsi="Times New Roman" w:cs="Times New Roman"/>
        </w:rPr>
      </w:pP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710240" w:rsidRDefault="00710240" w:rsidP="00710240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0240" w:rsidRPr="007946CE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lastRenderedPageBreak/>
        <w:t xml:space="preserve">Program 1013 Izvanstandardni programi u školama provodi se kroz sljedeće aktivnosti: </w:t>
      </w:r>
    </w:p>
    <w:p w:rsidR="00710240" w:rsidRPr="007946CE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 xml:space="preserve">- Aktivnost 1013-04 Izvanškolske aktivnosti </w:t>
      </w:r>
    </w:p>
    <w:p w:rsidR="00710240" w:rsidRPr="007946CE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 xml:space="preserve">- Aktivnost 1013-06 Produženi boravak </w:t>
      </w:r>
    </w:p>
    <w:p w:rsidR="00710240" w:rsidRPr="007946CE" w:rsidRDefault="00710240" w:rsidP="00710240">
      <w:pPr>
        <w:jc w:val="both"/>
      </w:pPr>
      <w:r w:rsidRPr="007946CE">
        <w:rPr>
          <w:rFonts w:ascii="Times New Roman" w:hAnsi="Times New Roman" w:cs="Times New Roman"/>
          <w:sz w:val="24"/>
          <w:szCs w:val="24"/>
        </w:rPr>
        <w:t xml:space="preserve">- Aktivnost 1013-07 Financiranje nabave drugih obrazovnih materijala </w:t>
      </w:r>
    </w:p>
    <w:p w:rsidR="00710240" w:rsidRPr="007946CE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6CE">
        <w:rPr>
          <w:rFonts w:ascii="Times New Roman" w:hAnsi="Times New Roman" w:cs="Times New Roman"/>
          <w:sz w:val="24"/>
          <w:szCs w:val="24"/>
        </w:rPr>
        <w:t>- Aktivnost 1013-13 Prehrana učenika u osnovnim školama</w:t>
      </w:r>
    </w:p>
    <w:p w:rsidR="00710240" w:rsidRPr="007946CE" w:rsidRDefault="00710240" w:rsidP="00710240">
      <w:pPr>
        <w:jc w:val="both"/>
      </w:pPr>
      <w:r w:rsidRPr="007946CE">
        <w:rPr>
          <w:rFonts w:ascii="Times New Roman" w:hAnsi="Times New Roman" w:cs="Times New Roman"/>
          <w:sz w:val="24"/>
          <w:szCs w:val="24"/>
        </w:rPr>
        <w:t>- Aktivnost 1013-17 Program predškole</w:t>
      </w:r>
      <w:r w:rsidRPr="007946CE">
        <w:t xml:space="preserve"> </w:t>
      </w:r>
    </w:p>
    <w:p w:rsidR="00710240" w:rsidRPr="007946CE" w:rsidRDefault="00710240" w:rsidP="00710240">
      <w:pPr>
        <w:jc w:val="both"/>
      </w:pPr>
      <w:r w:rsidRPr="007946CE">
        <w:t xml:space="preserve">- </w:t>
      </w:r>
      <w:r w:rsidRPr="007946CE">
        <w:rPr>
          <w:rFonts w:ascii="Times New Roman" w:hAnsi="Times New Roman" w:cs="Times New Roman"/>
          <w:sz w:val="24"/>
          <w:szCs w:val="24"/>
        </w:rPr>
        <w:t xml:space="preserve">Aktivnost 1013-23 Škola puna mogućnosti 5 </w:t>
      </w: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1013-06 Produženi boravak </w:t>
      </w:r>
    </w:p>
    <w:tbl>
      <w:tblPr>
        <w:tblpPr w:leftFromText="180" w:rightFromText="180" w:bottomFromText="160" w:vertAnchor="text" w:horzAnchor="margin" w:tblpXSpec="center" w:tblpY="1668"/>
        <w:tblW w:w="11058" w:type="dxa"/>
        <w:tblLook w:val="04A0" w:firstRow="1" w:lastRow="0" w:firstColumn="1" w:lastColumn="0" w:noHBand="0" w:noVBand="1"/>
      </w:tblPr>
      <w:tblGrid>
        <w:gridCol w:w="2715"/>
        <w:gridCol w:w="1176"/>
        <w:gridCol w:w="1180"/>
        <w:gridCol w:w="1440"/>
        <w:gridCol w:w="1286"/>
        <w:gridCol w:w="1701"/>
        <w:gridCol w:w="1560"/>
      </w:tblGrid>
      <w:tr w:rsidR="00710240" w:rsidTr="00710240">
        <w:trPr>
          <w:trHeight w:val="578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uspješnosti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B51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B51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2027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B51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2028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10240" w:rsidTr="00710240">
        <w:trPr>
          <w:trHeight w:val="578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skupina u produženom boravku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Skupine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4 </w:t>
            </w:r>
          </w:p>
        </w:tc>
      </w:tr>
      <w:tr w:rsidR="00710240" w:rsidTr="00710240">
        <w:trPr>
          <w:trHeight w:val="840"/>
        </w:trPr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učenika u programu produženog boravka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Učenici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1F36B8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6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106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1F36B8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6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1F36B8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6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1F36B8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36B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</w:tr>
    </w:tbl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školi je u 2025. godini 4 skupine u kojoj rade četiri učiteljice čije su plaće i ostala materijalna prava financirana iz Proračuna grada. U 2026. i 2027. godini planira se ne planira povećanje broja učenika odnosno skupina radi nedostatka prostora. </w:t>
      </w: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4. Produženi boravak</w:t>
      </w: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Zadar financira nabavu drug</w:t>
      </w:r>
      <w:r w:rsidR="005B7BB2">
        <w:rPr>
          <w:rFonts w:ascii="Times New Roman" w:hAnsi="Times New Roman" w:cs="Times New Roman"/>
          <w:sz w:val="24"/>
          <w:szCs w:val="24"/>
        </w:rPr>
        <w:t>ih obrazovnih materijal i u 2026</w:t>
      </w:r>
      <w:r>
        <w:rPr>
          <w:rFonts w:ascii="Times New Roman" w:hAnsi="Times New Roman" w:cs="Times New Roman"/>
          <w:sz w:val="24"/>
          <w:szCs w:val="24"/>
        </w:rPr>
        <w:t xml:space="preserve">. godini u </w:t>
      </w:r>
      <w:r w:rsidR="007946CE" w:rsidRPr="007946CE">
        <w:rPr>
          <w:rFonts w:ascii="Times New Roman" w:hAnsi="Times New Roman" w:cs="Times New Roman"/>
          <w:sz w:val="24"/>
          <w:szCs w:val="24"/>
        </w:rPr>
        <w:t>iznosu 56</w:t>
      </w:r>
      <w:r w:rsidRPr="007946CE">
        <w:rPr>
          <w:rFonts w:ascii="Times New Roman" w:hAnsi="Times New Roman" w:cs="Times New Roman"/>
          <w:sz w:val="24"/>
          <w:szCs w:val="24"/>
        </w:rPr>
        <w:t xml:space="preserve">.000 eura, </w:t>
      </w:r>
      <w:r>
        <w:rPr>
          <w:rFonts w:ascii="Times New Roman" w:hAnsi="Times New Roman" w:cs="Times New Roman"/>
          <w:sz w:val="24"/>
          <w:szCs w:val="24"/>
        </w:rPr>
        <w:t xml:space="preserve">a odnosi se na odabrane radne bilježnice od 1. do 8. razreda i geografski atlas za učenike 5. razreda. </w:t>
      </w: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00" w:type="dxa"/>
        <w:tblInd w:w="-1072" w:type="dxa"/>
        <w:tblLook w:val="04A0" w:firstRow="1" w:lastRow="0" w:firstColumn="1" w:lastColumn="0" w:noHBand="0" w:noVBand="1"/>
      </w:tblPr>
      <w:tblGrid>
        <w:gridCol w:w="1351"/>
        <w:gridCol w:w="1701"/>
        <w:gridCol w:w="1134"/>
        <w:gridCol w:w="1276"/>
        <w:gridCol w:w="1842"/>
        <w:gridCol w:w="1843"/>
        <w:gridCol w:w="2053"/>
      </w:tblGrid>
      <w:tr w:rsidR="00710240" w:rsidTr="00710240">
        <w:trPr>
          <w:trHeight w:val="578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uspješnosti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2027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2028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10240" w:rsidTr="00710240">
        <w:trPr>
          <w:trHeight w:val="1200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Financiranje drugih obrazovnih materijala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5B7BB2" w:rsidP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="00794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750</w:t>
            </w:r>
          </w:p>
        </w:tc>
      </w:tr>
    </w:tbl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5. Financiranje nabave drugih obrazovnih materijala</w:t>
      </w: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 1013-13 Prehrana učenika u osnovnim školama</w:t>
      </w: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Školska shema – isporuka voća i mlijeka i mliječnih proizvoda jednom tjedno u dane održavanja nastave</w:t>
      </w:r>
      <w:r>
        <w:rPr>
          <w:rFonts w:ascii="Arial Narrow" w:eastAsia="Calibri" w:hAnsi="Arial Narrow" w:cs="Arial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rasponu od najmanje 12 do najviše 24 tjedna tijekom školske godine.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Potiče se promoviranje zdravog načina života, osobito djece i mladih osoba. Shema predstavlja program potpore namijenjen poboljšanju distribucije poljoprivrednih proizvoda, koji ima za cilj promicanje uravnotežene prehrane i zdravih prehrambenih navika djece u odgojno - obrazovnim ustanovama, kao i edukacije učenika u cilju smanjenja otpada od hrane. Radi se posebnom programu potpore Europske unije za opskrbu voćem i povrćem te mlijekom i mliječnim proizvodima u obrazovnim ustanovama.</w:t>
      </w:r>
    </w:p>
    <w:p w:rsidR="00710240" w:rsidRDefault="00710240" w:rsidP="00710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00" w:type="dxa"/>
        <w:tblInd w:w="-1067" w:type="dxa"/>
        <w:tblLook w:val="04A0" w:firstRow="1" w:lastRow="0" w:firstColumn="1" w:lastColumn="0" w:noHBand="0" w:noVBand="1"/>
      </w:tblPr>
      <w:tblGrid>
        <w:gridCol w:w="1860"/>
        <w:gridCol w:w="1600"/>
        <w:gridCol w:w="1180"/>
        <w:gridCol w:w="1440"/>
        <w:gridCol w:w="1660"/>
        <w:gridCol w:w="1740"/>
        <w:gridCol w:w="1720"/>
      </w:tblGrid>
      <w:tr w:rsidR="00710240" w:rsidTr="00710240">
        <w:trPr>
          <w:trHeight w:val="300"/>
        </w:trPr>
        <w:tc>
          <w:tcPr>
            <w:tcW w:w="1860" w:type="dxa"/>
            <w:noWrap/>
            <w:vAlign w:val="bottom"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hr-HR"/>
              </w:rPr>
            </w:pPr>
          </w:p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hr-HR"/>
              </w:rPr>
              <w:t>Školska shema</w:t>
            </w:r>
          </w:p>
        </w:tc>
        <w:tc>
          <w:tcPr>
            <w:tcW w:w="1600" w:type="dxa"/>
            <w:noWrap/>
            <w:vAlign w:val="bottom"/>
            <w:hideMark/>
          </w:tcPr>
          <w:p w:rsidR="00710240" w:rsidRDefault="007102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710240" w:rsidTr="00710240">
        <w:trPr>
          <w:trHeight w:val="5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uspješnosti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2027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2028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10240" w:rsidTr="00710240">
        <w:trPr>
          <w:trHeight w:val="12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učenika obuhvaćenih Projektom Školska shema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Pr="007946CE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Voće i povrće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750</w:t>
            </w:r>
          </w:p>
        </w:tc>
      </w:tr>
      <w:tr w:rsidR="005B7BB2" w:rsidRPr="005B7BB2" w:rsidTr="00710240">
        <w:trPr>
          <w:trHeight w:val="12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učenika obuhvaćenih prehranom u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Pr="007946CE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Mlijeko i mliječni proizvodi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</w:t>
            </w:r>
            <w:r w:rsidR="00710240"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Pr="007946CE" w:rsidRDefault="00794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946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750</w:t>
            </w:r>
          </w:p>
        </w:tc>
      </w:tr>
    </w:tbl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6. Shema školskog voća i povrća i shema mlijeka</w:t>
      </w: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1013-14 Škola puna mogućnosti </w:t>
      </w: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sve većeg porasta učenika sa teškoćama koji ne mogu samostalno pohađati odgojno-obrazovni proces nužno je povećanje broja pomoćnika u nastavi. Obrazovanje i briga o djeci s teškoćama posljednjih godina uključuje opsežniju integraciju i inkluziju u redovni sustav školovanja. Pozitivna europska praksa inkluzije uključuje i pomoćnike u nastavi kao pomoć u odgojno - obrazovnom procesu djece s teškoćama. S obzirom da se potreba za pomoćnicima </w:t>
      </w:r>
      <w:r>
        <w:rPr>
          <w:rFonts w:ascii="Times New Roman" w:hAnsi="Times New Roman" w:cs="Times New Roman"/>
          <w:sz w:val="24"/>
          <w:szCs w:val="24"/>
        </w:rPr>
        <w:lastRenderedPageBreak/>
        <w:t>svake godine povećava, uvođenje pomoćnika u nastavi u odgojno - obrazovni sustav postao je dio širih javnih potreba. Zbog specifičnosti ovoga programa osnovano je Povjerenstvo za uvođenje pomoćnika u nastavi kojemu je zadatak sagledavanje ukupne situacije i potrebe za pomoćnicima, te ostali poslovi do same realizacije i angažiranja pomoćnika. Program pomoćnika u nastavi dobio je potrebnu suglasnost Ministarstva znanosti i obrazovanja, a pravobraniteljica za djecu svim jedinicama lokalne i područne (regionalne) samouprave kroz preporuku daje podršku za sustavno financiranje pomoćnika u nastavi</w:t>
      </w:r>
      <w:r w:rsidR="005B7BB2">
        <w:rPr>
          <w:rFonts w:ascii="Times New Roman" w:hAnsi="Times New Roman" w:cs="Times New Roman"/>
          <w:sz w:val="24"/>
          <w:szCs w:val="24"/>
        </w:rPr>
        <w:t xml:space="preserve"> za djecu s teškoćama.    U 2026</w:t>
      </w:r>
      <w:r>
        <w:rPr>
          <w:rFonts w:ascii="Times New Roman" w:hAnsi="Times New Roman" w:cs="Times New Roman"/>
          <w:sz w:val="24"/>
          <w:szCs w:val="24"/>
        </w:rPr>
        <w:t xml:space="preserve">. godini planiraju se rashodi za plaće i ostali materijalni rashodi za </w:t>
      </w:r>
      <w:r w:rsidR="005B7BB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pomoćnika u nastavi u ukupnom iznosu te projekcija </w:t>
      </w:r>
      <w:r w:rsidR="005B7BB2">
        <w:rPr>
          <w:rFonts w:ascii="Times New Roman" w:hAnsi="Times New Roman" w:cs="Times New Roman"/>
          <w:sz w:val="24"/>
          <w:szCs w:val="24"/>
        </w:rPr>
        <w:t>iznosa za 2026. i 2027</w:t>
      </w:r>
      <w:r>
        <w:rPr>
          <w:rFonts w:ascii="Times New Roman" w:hAnsi="Times New Roman" w:cs="Times New Roman"/>
          <w:sz w:val="24"/>
          <w:szCs w:val="24"/>
        </w:rPr>
        <w:t xml:space="preserve">. godinu. Ne planira se povećanje broja pomoćnika u iduće dvije godine. </w:t>
      </w:r>
    </w:p>
    <w:tbl>
      <w:tblPr>
        <w:tblW w:w="11200" w:type="dxa"/>
        <w:tblInd w:w="-1067" w:type="dxa"/>
        <w:tblLook w:val="04A0" w:firstRow="1" w:lastRow="0" w:firstColumn="1" w:lastColumn="0" w:noHBand="0" w:noVBand="1"/>
      </w:tblPr>
      <w:tblGrid>
        <w:gridCol w:w="1440"/>
        <w:gridCol w:w="420"/>
        <w:gridCol w:w="1240"/>
        <w:gridCol w:w="360"/>
        <w:gridCol w:w="1180"/>
        <w:gridCol w:w="200"/>
        <w:gridCol w:w="1240"/>
        <w:gridCol w:w="480"/>
        <w:gridCol w:w="1180"/>
        <w:gridCol w:w="1740"/>
        <w:gridCol w:w="1720"/>
      </w:tblGrid>
      <w:tr w:rsidR="00710240" w:rsidTr="00710240">
        <w:trPr>
          <w:gridAfter w:val="3"/>
          <w:wAfter w:w="4640" w:type="dxa"/>
          <w:trHeight w:val="300"/>
        </w:trPr>
        <w:tc>
          <w:tcPr>
            <w:tcW w:w="1440" w:type="dxa"/>
            <w:noWrap/>
            <w:vAlign w:val="bottom"/>
            <w:hideMark/>
          </w:tcPr>
          <w:p w:rsidR="00710240" w:rsidRDefault="00710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noWrap/>
            <w:vAlign w:val="bottom"/>
            <w:hideMark/>
          </w:tcPr>
          <w:p w:rsidR="00710240" w:rsidRDefault="00710240">
            <w:pPr>
              <w:spacing w:after="16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3"/>
            <w:noWrap/>
            <w:vAlign w:val="bottom"/>
            <w:hideMark/>
          </w:tcPr>
          <w:p w:rsidR="00710240" w:rsidRDefault="00710240">
            <w:pPr>
              <w:spacing w:after="16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10240" w:rsidRDefault="00710240">
            <w:pPr>
              <w:spacing w:after="16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710240" w:rsidTr="00710240">
        <w:trPr>
          <w:gridAfter w:val="3"/>
          <w:wAfter w:w="4640" w:type="dxa"/>
          <w:trHeight w:val="300"/>
        </w:trPr>
        <w:tc>
          <w:tcPr>
            <w:tcW w:w="1440" w:type="dxa"/>
            <w:noWrap/>
            <w:vAlign w:val="bottom"/>
            <w:hideMark/>
          </w:tcPr>
          <w:p w:rsidR="00710240" w:rsidRDefault="00710240"/>
        </w:tc>
        <w:tc>
          <w:tcPr>
            <w:tcW w:w="1660" w:type="dxa"/>
            <w:gridSpan w:val="2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gridSpan w:val="3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:rsidR="00710240" w:rsidRDefault="00710240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710240" w:rsidTr="00710240">
        <w:trPr>
          <w:trHeight w:val="578"/>
        </w:trPr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Pokazatelj uspješnosti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Definicija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Jedinica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Polazna vrijednost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2026.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2027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Ciljana vrijednost 2028</w:t>
            </w:r>
            <w:r w:rsidR="0071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10240" w:rsidTr="00710240">
        <w:trPr>
          <w:trHeight w:val="1200"/>
        </w:trPr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pomoćnika u nastavi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Pomoćnici u nastavi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 w:rsidP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="005B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  <w:r w:rsidR="005B7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5B7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</w:t>
            </w:r>
          </w:p>
        </w:tc>
      </w:tr>
    </w:tbl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7. Pomoćnici u nastavi 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240" w:rsidRDefault="00710240" w:rsidP="00710240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Aktivnost 1013-17 Program predškole</w:t>
      </w:r>
      <w:r>
        <w:t xml:space="preserve"> </w:t>
      </w:r>
    </w:p>
    <w:p w:rsidR="00710240" w:rsidRDefault="00710240" w:rsidP="00710240">
      <w:pPr>
        <w:spacing w:line="360" w:lineRule="auto"/>
        <w:jc w:val="both"/>
      </w:pPr>
      <w:r>
        <w:rPr>
          <w:rFonts w:ascii="Times New Roman" w:hAnsi="Times New Roman" w:cs="Times New Roman"/>
        </w:rPr>
        <w:t>Program predškole u 2025. godini provodi se u Područnoj školi Silba</w:t>
      </w:r>
      <w:r w:rsidR="00F76490">
        <w:rPr>
          <w:rFonts w:ascii="Times New Roman" w:hAnsi="Times New Roman" w:cs="Times New Roman"/>
        </w:rPr>
        <w:t xml:space="preserve"> za dvoje djece </w:t>
      </w:r>
      <w:r>
        <w:rPr>
          <w:rFonts w:ascii="Times New Roman" w:hAnsi="Times New Roman" w:cs="Times New Roman"/>
        </w:rPr>
        <w:t xml:space="preserve"> i Veli Iž</w:t>
      </w:r>
      <w:r w:rsidR="00F76490">
        <w:rPr>
          <w:rFonts w:ascii="Times New Roman" w:hAnsi="Times New Roman" w:cs="Times New Roman"/>
          <w:color w:val="FF0000"/>
        </w:rPr>
        <w:t xml:space="preserve"> </w:t>
      </w:r>
      <w:r w:rsidR="00F76490" w:rsidRPr="00F76490">
        <w:rPr>
          <w:rFonts w:ascii="Times New Roman" w:hAnsi="Times New Roman" w:cs="Times New Roman"/>
        </w:rPr>
        <w:t xml:space="preserve">za dvoje djece u </w:t>
      </w:r>
      <w:r w:rsidR="005B7BB2">
        <w:rPr>
          <w:rFonts w:ascii="Times New Roman" w:hAnsi="Times New Roman" w:cs="Times New Roman"/>
        </w:rPr>
        <w:t>trajanju od 08. listopada 2025. godine do 31. svibnja 2026</w:t>
      </w:r>
      <w:r>
        <w:rPr>
          <w:rFonts w:ascii="Times New Roman" w:hAnsi="Times New Roman" w:cs="Times New Roman"/>
        </w:rPr>
        <w:t>.</w:t>
      </w:r>
      <w:r w:rsidR="005B7B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godine. Planira se i program kr</w:t>
      </w:r>
      <w:r w:rsidR="005B7BB2">
        <w:rPr>
          <w:rFonts w:ascii="Times New Roman" w:hAnsi="Times New Roman" w:cs="Times New Roman"/>
        </w:rPr>
        <w:t xml:space="preserve">oz 2026. , </w:t>
      </w:r>
      <w:r>
        <w:rPr>
          <w:rFonts w:ascii="Times New Roman" w:hAnsi="Times New Roman" w:cs="Times New Roman"/>
        </w:rPr>
        <w:t xml:space="preserve">2027. </w:t>
      </w:r>
      <w:r w:rsidR="005B7BB2">
        <w:rPr>
          <w:rFonts w:ascii="Times New Roman" w:hAnsi="Times New Roman" w:cs="Times New Roman"/>
        </w:rPr>
        <w:t xml:space="preserve">i 2028. </w:t>
      </w:r>
      <w:r>
        <w:rPr>
          <w:rFonts w:ascii="Times New Roman" w:hAnsi="Times New Roman" w:cs="Times New Roman"/>
        </w:rPr>
        <w:t xml:space="preserve">godinu.  Rashodi za plaću zaposlenika financiraju se iz Proračuna Grada , a materijalne troškove (nabava radnih materijala i sl.) financira nadležno Ministarstvo u iznosu </w:t>
      </w:r>
      <w:r w:rsidR="001F36B8">
        <w:rPr>
          <w:rFonts w:ascii="Times New Roman" w:hAnsi="Times New Roman" w:cs="Times New Roman"/>
        </w:rPr>
        <w:t>108</w:t>
      </w:r>
      <w:r w:rsidR="00F76490" w:rsidRPr="00F76490">
        <w:rPr>
          <w:rFonts w:ascii="Times New Roman" w:hAnsi="Times New Roman" w:cs="Times New Roman"/>
        </w:rPr>
        <w:t>,00</w:t>
      </w:r>
      <w:r w:rsidR="00F76490">
        <w:rPr>
          <w:rFonts w:ascii="Times New Roman" w:hAnsi="Times New Roman" w:cs="Times New Roman"/>
        </w:rPr>
        <w:t xml:space="preserve"> e</w:t>
      </w:r>
      <w:r w:rsidR="00F76490" w:rsidRPr="00F76490">
        <w:rPr>
          <w:rFonts w:ascii="Times New Roman" w:hAnsi="Times New Roman" w:cs="Times New Roman"/>
        </w:rPr>
        <w:t>ura</w:t>
      </w:r>
      <w:r w:rsidR="00F764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 vrijeme trajanja programa. </w:t>
      </w:r>
    </w:p>
    <w:tbl>
      <w:tblPr>
        <w:tblW w:w="11200" w:type="dxa"/>
        <w:tblInd w:w="-10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600"/>
        <w:gridCol w:w="1180"/>
        <w:gridCol w:w="1440"/>
        <w:gridCol w:w="1660"/>
        <w:gridCol w:w="1740"/>
        <w:gridCol w:w="1720"/>
      </w:tblGrid>
      <w:tr w:rsidR="00710240" w:rsidTr="00710240">
        <w:trPr>
          <w:trHeight w:val="5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Pokazatelj uspješnosti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Definicija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Jedinica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Polazna vrijednost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B51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Ciljana vrijednost 2026</w:t>
            </w:r>
            <w:r w:rsidR="00710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B51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Ciljana vrijednost 2027</w:t>
            </w:r>
            <w:r w:rsidR="00710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B51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Ciljana vrijednost 2028</w:t>
            </w:r>
            <w:r w:rsidR="007102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10240" w:rsidTr="00710240">
        <w:trPr>
          <w:trHeight w:val="12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Broj učenika u predškoli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Učenici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B51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B51B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0240" w:rsidRDefault="0071024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</w:tr>
    </w:tbl>
    <w:p w:rsidR="00710240" w:rsidRDefault="00710240" w:rsidP="007102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8. Predškola</w:t>
      </w:r>
    </w:p>
    <w:p w:rsidR="00710240" w:rsidRDefault="00710240" w:rsidP="00710240">
      <w:pPr>
        <w:rPr>
          <w:rFonts w:ascii="Arial" w:eastAsia="Calibri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710240" w:rsidRDefault="00710240" w:rsidP="00710240">
      <w:pPr>
        <w:ind w:firstLine="360"/>
        <w:rPr>
          <w:rFonts w:ascii="Arial" w:eastAsia="Calibri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  Zakonske i druge pravne osnove</w:t>
      </w:r>
    </w:p>
    <w:p w:rsidR="00710240" w:rsidRDefault="00710240" w:rsidP="0071024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odgoju i obrazovanju u osnovnoj i srednjoj školi (NN br. 87/08, 86/09, 92/10, 105/10, 90/11, 5/12, 16/12, 86/12, 126/12, 94/13, 152/14, 07/17, 68/18, 98/19, 64/20</w:t>
      </w:r>
      <w:r w:rsidR="00B02B18">
        <w:rPr>
          <w:rFonts w:ascii="Times New Roman" w:hAnsi="Times New Roman" w:cs="Times New Roman"/>
          <w:sz w:val="24"/>
          <w:szCs w:val="24"/>
        </w:rPr>
        <w:t>, 151/22, 155/23, 156/23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0240" w:rsidRDefault="00710240" w:rsidP="0071024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ustanovama ( NN br. 76/93, 29/97, 47/99, 35/08, 127/19</w:t>
      </w:r>
      <w:r w:rsidR="00B02B18">
        <w:rPr>
          <w:rFonts w:ascii="Times New Roman" w:hAnsi="Times New Roman" w:cs="Times New Roman"/>
          <w:sz w:val="24"/>
          <w:szCs w:val="24"/>
        </w:rPr>
        <w:t>,151/22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10240" w:rsidRDefault="00710240" w:rsidP="0071024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proračunu ( NN br. 144/21), Pravilnik o proračunskim klasifikacijama (NN br. </w:t>
      </w:r>
      <w:r w:rsidR="00B02B18">
        <w:rPr>
          <w:rFonts w:ascii="Times New Roman" w:hAnsi="Times New Roman" w:cs="Times New Roman"/>
          <w:sz w:val="24"/>
          <w:szCs w:val="24"/>
        </w:rPr>
        <w:t xml:space="preserve">4/2024 </w:t>
      </w:r>
      <w:r>
        <w:rPr>
          <w:rFonts w:ascii="Times New Roman" w:hAnsi="Times New Roman" w:cs="Times New Roman"/>
          <w:sz w:val="24"/>
          <w:szCs w:val="24"/>
        </w:rPr>
        <w:t>) i Pravilnik o proračunskom računovodstvu i računskom planu (</w:t>
      </w:r>
      <w:r w:rsidR="00B02B18">
        <w:rPr>
          <w:rFonts w:ascii="Times New Roman" w:hAnsi="Times New Roman" w:cs="Times New Roman"/>
          <w:sz w:val="24"/>
          <w:szCs w:val="24"/>
        </w:rPr>
        <w:t>NN br. 158/2023)</w:t>
      </w:r>
    </w:p>
    <w:p w:rsidR="00710240" w:rsidRDefault="00710240" w:rsidP="00710240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škole za školsku godinu</w:t>
      </w:r>
      <w:r w:rsidR="00B02B18">
        <w:rPr>
          <w:rFonts w:ascii="Times New Roman" w:hAnsi="Times New Roman" w:cs="Times New Roman"/>
          <w:sz w:val="24"/>
          <w:szCs w:val="24"/>
        </w:rPr>
        <w:t xml:space="preserve"> 2025./2026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240" w:rsidRDefault="00710240" w:rsidP="0071024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</w:t>
      </w:r>
      <w:r w:rsidR="00B02B18">
        <w:rPr>
          <w:rFonts w:ascii="Times New Roman" w:hAnsi="Times New Roman" w:cs="Times New Roman"/>
          <w:sz w:val="24"/>
          <w:szCs w:val="24"/>
        </w:rPr>
        <w:t>lum škole za školsku godinu 2025./2026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240" w:rsidRDefault="00710240" w:rsidP="00710240">
      <w:pPr>
        <w:rPr>
          <w:rFonts w:ascii="Times New Roman" w:hAnsi="Times New Roman" w:cs="Times New Roman"/>
        </w:rPr>
      </w:pPr>
    </w:p>
    <w:p w:rsidR="00710240" w:rsidRDefault="00710240" w:rsidP="0071024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Usklađeni ciljevi, strategije i programi s dokumentima dugoročnog razvoja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Školske ustanove ne donose strateške, već godišnje planove i programe (GPP i školski kurikulum) prema planu i programu koje je donijelo Ministarstvo znanosti i obrazovanja. Vertikala usklađivanja ciljeva i programa MZO-a i jedinice lokalne samouprave sa školskom ustanovom je provedena u dodirnim točkama.</w:t>
      </w:r>
    </w:p>
    <w:p w:rsidR="00710240" w:rsidRDefault="00710240" w:rsidP="0071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Nastavni planovi se donose za nastavnu godinu, a ne za fiskalnu. Uzrok mnogim odstupanjima u izvršenju financijskog plana, odnosno pomak određenih aktivnosti iz jednog u drugo polugodište uzrokuje promjene izvršenja financijskog plana za 2 godine.</w:t>
      </w:r>
    </w:p>
    <w:p w:rsidR="00710240" w:rsidRDefault="00710240" w:rsidP="00710240">
      <w:pPr>
        <w:rPr>
          <w:rFonts w:ascii="Times New Roman" w:hAnsi="Times New Roman" w:cs="Times New Roman"/>
        </w:rPr>
      </w:pPr>
    </w:p>
    <w:p w:rsidR="00710240" w:rsidRDefault="00710240" w:rsidP="00710240">
      <w:pPr>
        <w:rPr>
          <w:rFonts w:ascii="Times New Roman" w:hAnsi="Times New Roman" w:cs="Times New Roman"/>
        </w:rPr>
      </w:pPr>
    </w:p>
    <w:p w:rsidR="00710240" w:rsidRDefault="00710240" w:rsidP="00710240">
      <w:pPr>
        <w:tabs>
          <w:tab w:val="left" w:pos="62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Voditelj računovodstva :</w:t>
      </w:r>
      <w:r>
        <w:rPr>
          <w:rFonts w:ascii="Times New Roman" w:hAnsi="Times New Roman" w:cs="Times New Roman"/>
        </w:rPr>
        <w:tab/>
        <w:t>Ravnatelj:</w:t>
      </w:r>
    </w:p>
    <w:p w:rsidR="00710240" w:rsidRDefault="00710240" w:rsidP="00710240">
      <w:pPr>
        <w:tabs>
          <w:tab w:val="left" w:pos="62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Luana Vidov, mag.oec. </w:t>
      </w:r>
      <w:r>
        <w:rPr>
          <w:rFonts w:ascii="Times New Roman" w:hAnsi="Times New Roman" w:cs="Times New Roman"/>
        </w:rPr>
        <w:tab/>
        <w:t>Davor Barić, dipl.ing.</w:t>
      </w:r>
    </w:p>
    <w:p w:rsidR="0088184C" w:rsidRDefault="0088184C"/>
    <w:sectPr w:rsidR="0088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3E1"/>
    <w:multiLevelType w:val="hybridMultilevel"/>
    <w:tmpl w:val="984E556C"/>
    <w:lvl w:ilvl="0" w:tplc="07C2F5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2767F"/>
    <w:multiLevelType w:val="hybridMultilevel"/>
    <w:tmpl w:val="D14246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DE"/>
    <w:rsid w:val="001F36B8"/>
    <w:rsid w:val="002B6F00"/>
    <w:rsid w:val="002E05FA"/>
    <w:rsid w:val="003005DA"/>
    <w:rsid w:val="00362D27"/>
    <w:rsid w:val="003F61D4"/>
    <w:rsid w:val="004C17BB"/>
    <w:rsid w:val="005B7BB2"/>
    <w:rsid w:val="00710240"/>
    <w:rsid w:val="00716815"/>
    <w:rsid w:val="0076223D"/>
    <w:rsid w:val="007946CE"/>
    <w:rsid w:val="00840733"/>
    <w:rsid w:val="0088184C"/>
    <w:rsid w:val="00A4163A"/>
    <w:rsid w:val="00A95198"/>
    <w:rsid w:val="00AB39FC"/>
    <w:rsid w:val="00B02B18"/>
    <w:rsid w:val="00B1685C"/>
    <w:rsid w:val="00B51BBD"/>
    <w:rsid w:val="00C07BFC"/>
    <w:rsid w:val="00D56ADB"/>
    <w:rsid w:val="00E743DE"/>
    <w:rsid w:val="00F76490"/>
    <w:rsid w:val="00F9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6866"/>
  <w15:chartTrackingRefBased/>
  <w15:docId w15:val="{3C9BF5C4-546A-48C5-B609-FA7DBDF1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4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10240"/>
    <w:rPr>
      <w:color w:val="0563C1" w:themeColor="hyperlink"/>
      <w:u w:val="single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7102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710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710240"/>
  </w:style>
  <w:style w:type="paragraph" w:styleId="Odlomakpopisa">
    <w:name w:val="List Paragraph"/>
    <w:basedOn w:val="Normal"/>
    <w:uiPriority w:val="34"/>
    <w:qFormat/>
    <w:rsid w:val="00710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zadarski-otoci-zd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6294-B906-4638-B663-F28C5DAED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Zadarski otoci</dc:creator>
  <cp:keywords/>
  <dc:description/>
  <cp:lastModifiedBy>OŠ Zadarski otoci</cp:lastModifiedBy>
  <cp:revision>22</cp:revision>
  <dcterms:created xsi:type="dcterms:W3CDTF">2025-10-14T08:34:00Z</dcterms:created>
  <dcterms:modified xsi:type="dcterms:W3CDTF">2025-11-12T12:22:00Z</dcterms:modified>
</cp:coreProperties>
</file>